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B5" w:rsidRPr="00992A27" w:rsidRDefault="00992A27" w:rsidP="008165F2">
      <w:pPr>
        <w:rPr>
          <w:rFonts w:ascii="Arial" w:hAnsi="Arial" w:cs="Arial"/>
          <w:b/>
          <w:sz w:val="36"/>
          <w:szCs w:val="36"/>
        </w:rPr>
      </w:pPr>
      <w:r w:rsidRPr="00992A27">
        <w:rPr>
          <w:rFonts w:ascii="Arial" w:hAnsi="Arial" w:cs="Arial"/>
          <w:b/>
          <w:sz w:val="36"/>
          <w:szCs w:val="36"/>
        </w:rPr>
        <w:t>Reflekt Adhesive For Tissue Extra</w:t>
      </w:r>
    </w:p>
    <w:p w:rsidR="008165F2" w:rsidRPr="00992A27" w:rsidRDefault="00992A27" w:rsidP="008165F2">
      <w:pPr>
        <w:rPr>
          <w:rFonts w:ascii="Arial" w:hAnsi="Arial" w:cs="Arial"/>
          <w:b/>
          <w:sz w:val="36"/>
          <w:szCs w:val="36"/>
        </w:rPr>
      </w:pPr>
      <w:r w:rsidRPr="00992A27">
        <w:rPr>
          <w:noProof/>
          <w:lang w:val="en-US" w:eastAsia="zh-TW"/>
        </w:rPr>
        <w:drawing>
          <wp:anchor distT="0" distB="0" distL="114300" distR="114300" simplePos="0" relativeHeight="251661312" behindDoc="0" locked="0" layoutInCell="1" allowOverlap="1">
            <wp:simplePos x="0" y="0"/>
            <wp:positionH relativeFrom="column">
              <wp:posOffset>0</wp:posOffset>
            </wp:positionH>
            <wp:positionV relativeFrom="paragraph">
              <wp:posOffset>8890</wp:posOffset>
            </wp:positionV>
            <wp:extent cx="1724025" cy="1257300"/>
            <wp:effectExtent l="0" t="0" r="0" b="0"/>
            <wp:wrapThrough wrapText="bothSides">
              <wp:wrapPolygon edited="0">
                <wp:start x="0" y="0"/>
                <wp:lineTo x="0" y="21273"/>
                <wp:lineTo x="21481" y="21273"/>
                <wp:lineTo x="21481" y="0"/>
                <wp:lineTo x="0" y="0"/>
              </wp:wrapPolygon>
            </wp:wrapThrough>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24025" cy="1257300"/>
                    </a:xfrm>
                    <a:prstGeom prst="rect">
                      <a:avLst/>
                    </a:prstGeom>
                    <a:noFill/>
                    <a:ln>
                      <a:noFill/>
                    </a:ln>
                  </pic:spPr>
                </pic:pic>
              </a:graphicData>
            </a:graphic>
          </wp:anchor>
        </w:drawing>
      </w:r>
      <w:r w:rsidR="00F04AF7" w:rsidRPr="00992A27">
        <w:rPr>
          <w:noProof/>
          <w:lang w:val="en-US" w:eastAsia="zh-TW"/>
        </w:rPr>
        <w:drawing>
          <wp:anchor distT="0" distB="0" distL="114300" distR="114300" simplePos="0" relativeHeight="251660288" behindDoc="0" locked="0" layoutInCell="1" allowOverlap="1">
            <wp:simplePos x="0" y="0"/>
            <wp:positionH relativeFrom="column">
              <wp:posOffset>3438525</wp:posOffset>
            </wp:positionH>
            <wp:positionV relativeFrom="paragraph">
              <wp:posOffset>419735</wp:posOffset>
            </wp:positionV>
            <wp:extent cx="1078230" cy="1095375"/>
            <wp:effectExtent l="0" t="0" r="0" b="0"/>
            <wp:wrapThrough wrapText="bothSides">
              <wp:wrapPolygon edited="0">
                <wp:start x="0" y="0"/>
                <wp:lineTo x="0" y="21412"/>
                <wp:lineTo x="21371" y="21412"/>
                <wp:lineTo x="21371" y="0"/>
                <wp:lineTo x="0" y="0"/>
              </wp:wrapPolygon>
            </wp:wrapThrough>
            <wp:docPr id="117253383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738600"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DE247E" w:rsidRPr="00992A27">
        <w:rPr>
          <w:noProof/>
          <w:lang w:val="en-US" w:eastAsia="zh-TW"/>
        </w:rPr>
        <w:drawing>
          <wp:anchor distT="0" distB="0" distL="114300" distR="114300" simplePos="0" relativeHeight="251659264"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2440"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p>
    <w:p w:rsidR="00E251B5" w:rsidRPr="00992A27" w:rsidRDefault="00E251B5" w:rsidP="008165F2">
      <w:pPr>
        <w:rPr>
          <w:rFonts w:ascii="Arial" w:hAnsi="Arial" w:cs="Arial"/>
          <w:b/>
          <w:sz w:val="36"/>
          <w:szCs w:val="36"/>
          <w:lang w:val="sv-SE"/>
        </w:rPr>
      </w:pPr>
    </w:p>
    <w:p w:rsidR="00E251B5" w:rsidRPr="00992A27" w:rsidRDefault="00E251B5" w:rsidP="008165F2">
      <w:pPr>
        <w:rPr>
          <w:rFonts w:ascii="Arial" w:hAnsi="Arial" w:cs="Arial"/>
          <w:b/>
          <w:sz w:val="36"/>
          <w:szCs w:val="36"/>
          <w:lang w:val="sv-SE"/>
        </w:rPr>
      </w:pPr>
    </w:p>
    <w:p w:rsidR="00E251B5" w:rsidRPr="00992A27" w:rsidRDefault="00E251B5" w:rsidP="008165F2">
      <w:pPr>
        <w:rPr>
          <w:rFonts w:ascii="Arial" w:hAnsi="Arial" w:cs="Arial"/>
          <w:b/>
          <w:sz w:val="36"/>
          <w:szCs w:val="36"/>
          <w:lang w:val="sv-SE"/>
        </w:rPr>
      </w:pPr>
    </w:p>
    <w:p w:rsidR="007172C6" w:rsidRPr="00992A27" w:rsidRDefault="00505BAB" w:rsidP="008165F2">
      <w:pPr>
        <w:rPr>
          <w:rFonts w:ascii="Arial" w:hAnsi="Arial" w:cs="Arial"/>
          <w:b/>
          <w:sz w:val="32"/>
          <w:szCs w:val="32"/>
          <w:lang w:val="sv-SE"/>
        </w:rPr>
      </w:pPr>
      <w:r>
        <w:rPr>
          <w:rFonts w:ascii="Arial" w:eastAsia="Times New Roman" w:hAnsi="Arial" w:cs="Arial"/>
          <w:sz w:val="20"/>
          <w:szCs w:val="24"/>
          <w:lang w:val="sv-SE"/>
        </w:rPr>
        <w:pict>
          <v:rect id="Rectangle 2" o:spid="_x0000_s1026" style="position:absolute;margin-left:-6pt;margin-top:266.1pt;width:523pt;height:294.25pt;z-index:251658240;visibility:visible;mso-wrap-style:square;mso-width-percent:0;mso-wrap-distance-left:9pt;mso-wrap-distance-top:0;mso-wrap-distance-right:9pt;mso-wrap-distance-bottom:0;mso-width-percent:0;mso-width-relative:page;mso-height-relative:page;v-text-anchor:top" strokeweight="1.5pt">
            <v:textbox>
              <w:txbxContent>
                <w:p w:rsidR="00E95547" w:rsidRPr="00F04AF7" w:rsidRDefault="00E95547" w:rsidP="006D2426">
                  <w:pPr>
                    <w:spacing w:after="0"/>
                    <w:rPr>
                      <w:rFonts w:ascii="Arial" w:eastAsia="Times New Roman" w:hAnsi="Arial" w:cs="Arial"/>
                      <w:b/>
                      <w:sz w:val="20"/>
                      <w:szCs w:val="20"/>
                      <w:lang w:val="sv-SE" w:eastAsia="sv-SE"/>
                    </w:rPr>
                  </w:pPr>
                </w:p>
                <w:p w:rsidR="00E95547" w:rsidRPr="00F04AF7" w:rsidRDefault="00992A27"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E95547" w:rsidRPr="00F04AF7" w:rsidRDefault="00992A27"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Tiheys: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1,02 kg/l</w:t>
                  </w:r>
                </w:p>
                <w:p w:rsidR="00E95547" w:rsidRPr="00F04AF7" w:rsidRDefault="00992A27"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20 paino-%</w:t>
                  </w:r>
                </w:p>
                <w:p w:rsidR="00E95547" w:rsidRPr="00F04AF7" w:rsidRDefault="00992A27" w:rsidP="00115D5D">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 xml:space="preserve">N. 4 m²/l </w:t>
                  </w:r>
                </w:p>
                <w:p w:rsidR="00E95547" w:rsidRPr="00505BAB" w:rsidRDefault="00992A27" w:rsidP="00115D5D">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844C28" w:rsidRPr="00505BAB" w:rsidRDefault="00992A27" w:rsidP="00844C28">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844C28" w:rsidRPr="00505BAB" w:rsidRDefault="00992A27" w:rsidP="00844C28">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N. ½ tuntia</w:t>
                  </w:r>
                </w:p>
                <w:p w:rsidR="00E95547" w:rsidRPr="00505BAB" w:rsidRDefault="00992A27"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Käytetään normaalisti ohentamattomana</w:t>
                  </w:r>
                </w:p>
                <w:p w:rsidR="00E95547" w:rsidRPr="00505BAB" w:rsidRDefault="00992A27"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Lämmin vesi</w:t>
                  </w:r>
                </w:p>
                <w:p w:rsidR="00F04AF7" w:rsidRPr="00505BAB" w:rsidRDefault="00F04AF7" w:rsidP="006D2426">
                  <w:pPr>
                    <w:spacing w:after="0"/>
                    <w:rPr>
                      <w:rFonts w:ascii="Arial" w:eastAsia="Times New Roman" w:hAnsi="Arial" w:cs="Arial"/>
                      <w:sz w:val="20"/>
                      <w:szCs w:val="20"/>
                      <w:lang w:val="fi-FI" w:eastAsia="sv-SE"/>
                    </w:rPr>
                  </w:pPr>
                </w:p>
                <w:p w:rsidR="00F04AF7" w:rsidRPr="00505BAB" w:rsidRDefault="00992A27" w:rsidP="00F04AF7">
                  <w:pPr>
                    <w:spacing w:after="0"/>
                    <w:ind w:left="2608" w:hanging="2608"/>
                    <w:rPr>
                      <w:rFonts w:ascii="Arial" w:eastAsia="Times New Roman" w:hAnsi="Arial" w:cs="Arial"/>
                      <w:sz w:val="20"/>
                      <w:szCs w:val="20"/>
                      <w:lang w:val="fi-FI"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F04AF7" w:rsidRPr="00505BAB" w:rsidRDefault="00992A27" w:rsidP="00F04AF7">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F04AF7" w:rsidRPr="00F04AF7" w:rsidRDefault="00992A27" w:rsidP="00F04AF7">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F04AF7" w:rsidRPr="008165F2" w:rsidRDefault="00F04AF7" w:rsidP="006D2426">
                  <w:pPr>
                    <w:spacing w:after="0"/>
                    <w:rPr>
                      <w:rFonts w:ascii="Arial" w:eastAsia="Times New Roman" w:hAnsi="Arial" w:cs="Arial"/>
                      <w:lang w:val="sv-SE" w:eastAsia="sv-SE"/>
                    </w:rPr>
                  </w:pPr>
                </w:p>
              </w:txbxContent>
            </v:textbox>
          </v:rect>
        </w:pict>
      </w:r>
      <w:r w:rsidR="00992A27" w:rsidRPr="00992A27">
        <w:rPr>
          <w:rFonts w:ascii="Arial" w:eastAsia="Arial" w:hAnsi="Arial" w:cs="Arial"/>
          <w:b/>
          <w:bCs/>
          <w:sz w:val="36"/>
          <w:szCs w:val="36"/>
          <w:bdr w:val="nil"/>
          <w:lang w:val="fi-FI"/>
        </w:rPr>
        <w:t xml:space="preserve">Tuotetietolomake – </w:t>
      </w:r>
      <w:proofErr w:type="spellStart"/>
      <w:r w:rsidR="00992A27" w:rsidRPr="00992A27">
        <w:rPr>
          <w:rFonts w:ascii="Arial" w:eastAsia="Arial" w:hAnsi="Arial" w:cs="Arial"/>
          <w:b/>
          <w:bCs/>
          <w:sz w:val="36"/>
          <w:szCs w:val="36"/>
          <w:bdr w:val="nil"/>
          <w:lang w:val="fi-FI"/>
        </w:rPr>
        <w:t>Reflekt</w:t>
      </w:r>
      <w:proofErr w:type="spellEnd"/>
      <w:r w:rsidR="00992A27" w:rsidRPr="00992A27">
        <w:rPr>
          <w:rFonts w:ascii="Arial" w:eastAsia="Arial" w:hAnsi="Arial" w:cs="Arial"/>
          <w:b/>
          <w:bCs/>
          <w:sz w:val="36"/>
          <w:szCs w:val="36"/>
          <w:bdr w:val="nil"/>
          <w:lang w:val="fi-FI"/>
        </w:rPr>
        <w:t xml:space="preserve"> </w:t>
      </w:r>
      <w:r w:rsidRPr="00505BAB">
        <w:rPr>
          <w:rFonts w:ascii="Arial" w:eastAsia="Arial" w:hAnsi="Arial" w:cs="Arial"/>
          <w:b/>
          <w:bCs/>
          <w:sz w:val="36"/>
          <w:szCs w:val="36"/>
          <w:bdr w:val="nil"/>
          <w:lang w:val="fi-FI"/>
        </w:rPr>
        <w:t>Liima kuituliinoille, extra</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DC5406" w:rsidRPr="00992A27" w:rsidTr="006D2426">
        <w:trPr>
          <w:tblCellSpacing w:w="0" w:type="dxa"/>
        </w:trPr>
        <w:tc>
          <w:tcPr>
            <w:tcW w:w="0" w:type="auto"/>
            <w:tcMar>
              <w:top w:w="0" w:type="dxa"/>
              <w:left w:w="0" w:type="dxa"/>
              <w:bottom w:w="200" w:type="dxa"/>
              <w:right w:w="600" w:type="dxa"/>
            </w:tcMar>
            <w:hideMark/>
          </w:tcPr>
          <w:p w:rsidR="008D3C13" w:rsidRPr="00992A27" w:rsidRDefault="00992A27" w:rsidP="008D3C13">
            <w:pPr>
              <w:spacing w:after="0" w:line="240" w:lineRule="auto"/>
              <w:rPr>
                <w:rFonts w:ascii="Arial" w:eastAsia="Times New Roman" w:hAnsi="Arial" w:cs="Arial"/>
                <w:b/>
                <w:sz w:val="20"/>
                <w:szCs w:val="24"/>
                <w:lang w:val="sv-SE" w:eastAsia="sv-SE"/>
              </w:rPr>
            </w:pPr>
            <w:r w:rsidRPr="00992A27">
              <w:rPr>
                <w:rFonts w:ascii="Arial" w:eastAsia="Arial" w:hAnsi="Arial" w:cs="Arial"/>
                <w:b/>
                <w:bCs/>
                <w:sz w:val="20"/>
                <w:szCs w:val="20"/>
                <w:bdr w:val="nil"/>
                <w:lang w:val="fi-FI" w:eastAsia="sv-SE"/>
              </w:rPr>
              <w:t xml:space="preserve">Tuotekuvaus: </w:t>
            </w:r>
          </w:p>
        </w:tc>
        <w:tc>
          <w:tcPr>
            <w:tcW w:w="3590" w:type="pct"/>
            <w:tcMar>
              <w:top w:w="0" w:type="dxa"/>
              <w:left w:w="0" w:type="dxa"/>
              <w:bottom w:w="520" w:type="dxa"/>
              <w:right w:w="0" w:type="dxa"/>
            </w:tcMar>
            <w:hideMark/>
          </w:tcPr>
          <w:p w:rsidR="008D3C13" w:rsidRPr="00992A27" w:rsidRDefault="00992A27" w:rsidP="008D3C13">
            <w:pPr>
              <w:rPr>
                <w:rFonts w:ascii="Arial" w:hAnsi="Arial" w:cs="Arial"/>
                <w:sz w:val="20"/>
                <w:szCs w:val="24"/>
                <w:lang w:val="sv-SE"/>
              </w:rPr>
            </w:pPr>
            <w:r w:rsidRPr="00992A27">
              <w:rPr>
                <w:rFonts w:ascii="Arial" w:eastAsia="Arial" w:hAnsi="Arial" w:cs="Arial"/>
                <w:sz w:val="20"/>
                <w:szCs w:val="20"/>
                <w:bdr w:val="nil"/>
                <w:lang w:val="fi-FI" w:eastAsia="sv-SE"/>
              </w:rPr>
              <w:t xml:space="preserve">Läpinäkyvä PVA-liima, erittäin hyvin tarttuva seinäliima/no-wo. Liima on kuivuttuaan läpinäkyvää. </w:t>
            </w:r>
          </w:p>
        </w:tc>
      </w:tr>
      <w:tr w:rsidR="00DC5406" w:rsidRPr="00992A27" w:rsidTr="006D2426">
        <w:trPr>
          <w:tblCellSpacing w:w="0" w:type="dxa"/>
        </w:trPr>
        <w:tc>
          <w:tcPr>
            <w:tcW w:w="0" w:type="auto"/>
            <w:tcMar>
              <w:top w:w="0" w:type="dxa"/>
              <w:left w:w="0" w:type="dxa"/>
              <w:bottom w:w="200" w:type="dxa"/>
              <w:right w:w="600" w:type="dxa"/>
            </w:tcMar>
            <w:hideMark/>
          </w:tcPr>
          <w:p w:rsidR="008D3C13" w:rsidRPr="00992A27" w:rsidRDefault="00992A27" w:rsidP="008165F2">
            <w:pPr>
              <w:spacing w:after="0"/>
              <w:rPr>
                <w:rFonts w:ascii="Arial" w:eastAsia="Times New Roman" w:hAnsi="Arial" w:cs="Arial"/>
                <w:b/>
                <w:sz w:val="20"/>
                <w:szCs w:val="24"/>
                <w:lang w:val="sv-SE" w:eastAsia="sv-SE"/>
              </w:rPr>
            </w:pPr>
            <w:r w:rsidRPr="00992A27">
              <w:rPr>
                <w:rFonts w:ascii="Arial" w:eastAsia="Arial" w:hAnsi="Arial" w:cs="Arial"/>
                <w:b/>
                <w:bCs/>
                <w:sz w:val="20"/>
                <w:szCs w:val="20"/>
                <w:bdr w:val="nil"/>
                <w:lang w:val="fi-FI" w:eastAsia="sv-SE"/>
              </w:rPr>
              <w:t xml:space="preserve">Tuotteen käyttö: </w:t>
            </w:r>
          </w:p>
        </w:tc>
        <w:tc>
          <w:tcPr>
            <w:tcW w:w="3590" w:type="pct"/>
            <w:tcMar>
              <w:top w:w="0" w:type="dxa"/>
              <w:left w:w="0" w:type="dxa"/>
              <w:bottom w:w="520" w:type="dxa"/>
              <w:right w:w="0" w:type="dxa"/>
            </w:tcMar>
            <w:hideMark/>
          </w:tcPr>
          <w:p w:rsidR="008D3C13" w:rsidRPr="00992A27" w:rsidRDefault="00992A27" w:rsidP="00844C28">
            <w:pPr>
              <w:spacing w:after="0" w:line="240" w:lineRule="auto"/>
              <w:rPr>
                <w:rFonts w:ascii="Arial" w:eastAsia="Times New Roman" w:hAnsi="Arial" w:cs="Arial"/>
                <w:sz w:val="20"/>
                <w:szCs w:val="24"/>
                <w:lang w:val="sv-SE" w:eastAsia="sv-SE"/>
              </w:rPr>
            </w:pPr>
            <w:r w:rsidRPr="00992A27">
              <w:rPr>
                <w:rFonts w:ascii="Arial" w:eastAsia="Arial" w:hAnsi="Arial" w:cs="Arial"/>
                <w:sz w:val="20"/>
                <w:szCs w:val="20"/>
                <w:bdr w:val="nil"/>
                <w:lang w:val="fi-FI" w:eastAsia="sv-SE"/>
              </w:rPr>
              <w:t>Käytetään tasoitustapetin tai lasikuitutapetin asennukseen. Käytetään kuivissa tiloissa.</w:t>
            </w:r>
          </w:p>
        </w:tc>
      </w:tr>
      <w:tr w:rsidR="00DC5406" w:rsidRPr="00505BAB" w:rsidTr="006D2426">
        <w:trPr>
          <w:tblCellSpacing w:w="0" w:type="dxa"/>
        </w:trPr>
        <w:tc>
          <w:tcPr>
            <w:tcW w:w="0" w:type="auto"/>
            <w:tcMar>
              <w:top w:w="0" w:type="dxa"/>
              <w:left w:w="0" w:type="dxa"/>
              <w:bottom w:w="200" w:type="dxa"/>
              <w:right w:w="600" w:type="dxa"/>
            </w:tcMar>
            <w:hideMark/>
          </w:tcPr>
          <w:p w:rsidR="008D3C13" w:rsidRPr="00992A27" w:rsidRDefault="00992A27" w:rsidP="008D3C13">
            <w:pPr>
              <w:spacing w:after="0" w:line="240" w:lineRule="auto"/>
              <w:rPr>
                <w:rFonts w:ascii="Arial" w:eastAsia="Times New Roman" w:hAnsi="Arial" w:cs="Arial"/>
                <w:b/>
                <w:sz w:val="20"/>
                <w:szCs w:val="24"/>
                <w:lang w:val="sv-SE" w:eastAsia="sv-SE"/>
              </w:rPr>
            </w:pPr>
            <w:r w:rsidRPr="00992A27">
              <w:rPr>
                <w:rFonts w:ascii="Arial" w:eastAsia="Arial" w:hAnsi="Arial" w:cs="Arial"/>
                <w:b/>
                <w:bCs/>
                <w:sz w:val="20"/>
                <w:szCs w:val="20"/>
                <w:bdr w:val="nil"/>
                <w:lang w:val="fi-FI" w:eastAsia="sv-SE"/>
              </w:rPr>
              <w:t xml:space="preserve">Työohjeet: </w:t>
            </w: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E27404" w:rsidRPr="00992A27" w:rsidRDefault="00E27404"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p w:rsidR="004E497E" w:rsidRPr="00992A27" w:rsidRDefault="004E497E" w:rsidP="008D3C13">
            <w:pPr>
              <w:spacing w:after="0" w:line="240" w:lineRule="auto"/>
              <w:rPr>
                <w:rFonts w:ascii="Arial" w:eastAsia="Times New Roman" w:hAnsi="Arial" w:cs="Arial"/>
                <w:sz w:val="20"/>
                <w:szCs w:val="24"/>
                <w:lang w:val="sv-SE" w:eastAsia="sv-SE"/>
              </w:rPr>
            </w:pPr>
          </w:p>
        </w:tc>
        <w:tc>
          <w:tcPr>
            <w:tcW w:w="3590" w:type="pct"/>
            <w:tcMar>
              <w:top w:w="0" w:type="dxa"/>
              <w:left w:w="0" w:type="dxa"/>
              <w:bottom w:w="520" w:type="dxa"/>
              <w:right w:w="0" w:type="dxa"/>
            </w:tcMar>
            <w:hideMark/>
          </w:tcPr>
          <w:p w:rsidR="008D3C13" w:rsidRPr="00992A27" w:rsidRDefault="00992A27" w:rsidP="008D3C13">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Pohjan pitää olla puhdas, kuiva ja kiinteä</w:t>
            </w:r>
          </w:p>
          <w:p w:rsidR="00115D5D" w:rsidRPr="00992A27" w:rsidRDefault="00992A27" w:rsidP="008D3C13">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 xml:space="preserve">Huokoiset pinnat esiliimataan Extra-seinäliimalla </w:t>
            </w:r>
          </w:p>
          <w:p w:rsidR="00115D5D" w:rsidRPr="00992A27" w:rsidRDefault="00992A27" w:rsidP="000524E9">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Maalatut pinnat pestään Målartvätt Inne -maalarinpesulla</w:t>
            </w:r>
          </w:p>
          <w:p w:rsidR="000524E9" w:rsidRPr="00992A27" w:rsidRDefault="00992A27" w:rsidP="000524E9">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Sileät pinnat on hiottava ja pohjustettava ennen tapetointia</w:t>
            </w:r>
          </w:p>
          <w:p w:rsidR="00115D5D" w:rsidRPr="00992A27" w:rsidRDefault="00992A27" w:rsidP="008D3C13">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Levitä Extra-tapettiliima pitkänukkaisella telalla, esim. Grov-telalla</w:t>
            </w:r>
          </w:p>
          <w:p w:rsidR="00115D5D" w:rsidRPr="00992A27" w:rsidRDefault="00992A27" w:rsidP="008D3C13">
            <w:pPr>
              <w:pStyle w:val="Listeafsnit"/>
              <w:numPr>
                <w:ilvl w:val="0"/>
                <w:numId w:val="1"/>
              </w:numPr>
              <w:rPr>
                <w:rFonts w:ascii="Arial" w:hAnsi="Arial" w:cs="Arial"/>
                <w:sz w:val="20"/>
                <w:szCs w:val="24"/>
                <w:lang w:val="sv-SE"/>
              </w:rPr>
            </w:pPr>
            <w:r w:rsidRPr="00992A27">
              <w:rPr>
                <w:rFonts w:ascii="Arial" w:eastAsia="Arial" w:hAnsi="Arial" w:cs="Arial"/>
                <w:sz w:val="20"/>
                <w:szCs w:val="20"/>
                <w:bdr w:val="nil"/>
                <w:lang w:val="fi-FI"/>
              </w:rPr>
              <w:t>Ylimaalattavien seinäverhoilujen on oltava täysin kuivia ja hyvin kiinni alustassa ennen ylimaalausta</w:t>
            </w:r>
          </w:p>
          <w:p w:rsidR="008D3C13" w:rsidRPr="00992A27" w:rsidRDefault="008D3C13" w:rsidP="008D3C13">
            <w:pPr>
              <w:pStyle w:val="NormalWeb"/>
              <w:rPr>
                <w:rFonts w:ascii="Arial" w:hAnsi="Arial" w:cs="Arial"/>
                <w:sz w:val="20"/>
                <w:lang w:val="sv-SE"/>
              </w:rPr>
            </w:pPr>
          </w:p>
        </w:tc>
      </w:tr>
      <w:tr w:rsidR="00DC5406" w:rsidRPr="00505BAB" w:rsidTr="006D2426">
        <w:trPr>
          <w:tblCellSpacing w:w="0" w:type="dxa"/>
        </w:trPr>
        <w:tc>
          <w:tcPr>
            <w:tcW w:w="0" w:type="auto"/>
            <w:tcMar>
              <w:top w:w="0" w:type="dxa"/>
              <w:left w:w="0" w:type="dxa"/>
              <w:bottom w:w="200" w:type="dxa"/>
              <w:right w:w="600" w:type="dxa"/>
            </w:tcMar>
            <w:hideMark/>
          </w:tcPr>
          <w:p w:rsidR="008D3C13" w:rsidRPr="00992A27" w:rsidRDefault="008D3C13"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8D3C13" w:rsidRPr="00992A27"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992A27"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992A27"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sv-SE" w:eastAsia="sv-SE"/>
              </w:rPr>
            </w:pPr>
          </w:p>
        </w:tc>
      </w:tr>
    </w:tbl>
    <w:p w:rsidR="008D3C13" w:rsidRPr="00992A27" w:rsidRDefault="008D3C13" w:rsidP="007172C6">
      <w:pPr>
        <w:rPr>
          <w:b/>
          <w:sz w:val="32"/>
          <w:szCs w:val="32"/>
          <w:lang w:val="sv-SE"/>
        </w:rPr>
      </w:pPr>
    </w:p>
    <w:sectPr w:rsidR="008D3C13" w:rsidRPr="00992A27"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2D9AE28C">
      <w:start w:val="1"/>
      <w:numFmt w:val="bullet"/>
      <w:lvlText w:val=""/>
      <w:lvlJc w:val="left"/>
      <w:pPr>
        <w:ind w:left="720" w:hanging="360"/>
      </w:pPr>
      <w:rPr>
        <w:rFonts w:ascii="Symbol" w:hAnsi="Symbol" w:hint="default"/>
      </w:rPr>
    </w:lvl>
    <w:lvl w:ilvl="1" w:tplc="AFC45E68" w:tentative="1">
      <w:start w:val="1"/>
      <w:numFmt w:val="bullet"/>
      <w:lvlText w:val="o"/>
      <w:lvlJc w:val="left"/>
      <w:pPr>
        <w:ind w:left="1440" w:hanging="360"/>
      </w:pPr>
      <w:rPr>
        <w:rFonts w:ascii="Courier New" w:hAnsi="Courier New" w:cs="Courier New" w:hint="default"/>
      </w:rPr>
    </w:lvl>
    <w:lvl w:ilvl="2" w:tplc="2BAA8BE0" w:tentative="1">
      <w:start w:val="1"/>
      <w:numFmt w:val="bullet"/>
      <w:lvlText w:val=""/>
      <w:lvlJc w:val="left"/>
      <w:pPr>
        <w:ind w:left="2160" w:hanging="360"/>
      </w:pPr>
      <w:rPr>
        <w:rFonts w:ascii="Wingdings" w:hAnsi="Wingdings" w:hint="default"/>
      </w:rPr>
    </w:lvl>
    <w:lvl w:ilvl="3" w:tplc="B22CBE68" w:tentative="1">
      <w:start w:val="1"/>
      <w:numFmt w:val="bullet"/>
      <w:lvlText w:val=""/>
      <w:lvlJc w:val="left"/>
      <w:pPr>
        <w:ind w:left="2880" w:hanging="360"/>
      </w:pPr>
      <w:rPr>
        <w:rFonts w:ascii="Symbol" w:hAnsi="Symbol" w:hint="default"/>
      </w:rPr>
    </w:lvl>
    <w:lvl w:ilvl="4" w:tplc="4998BAC8" w:tentative="1">
      <w:start w:val="1"/>
      <w:numFmt w:val="bullet"/>
      <w:lvlText w:val="o"/>
      <w:lvlJc w:val="left"/>
      <w:pPr>
        <w:ind w:left="3600" w:hanging="360"/>
      </w:pPr>
      <w:rPr>
        <w:rFonts w:ascii="Courier New" w:hAnsi="Courier New" w:cs="Courier New" w:hint="default"/>
      </w:rPr>
    </w:lvl>
    <w:lvl w:ilvl="5" w:tplc="10A849F0" w:tentative="1">
      <w:start w:val="1"/>
      <w:numFmt w:val="bullet"/>
      <w:lvlText w:val=""/>
      <w:lvlJc w:val="left"/>
      <w:pPr>
        <w:ind w:left="4320" w:hanging="360"/>
      </w:pPr>
      <w:rPr>
        <w:rFonts w:ascii="Wingdings" w:hAnsi="Wingdings" w:hint="default"/>
      </w:rPr>
    </w:lvl>
    <w:lvl w:ilvl="6" w:tplc="0FF0B948" w:tentative="1">
      <w:start w:val="1"/>
      <w:numFmt w:val="bullet"/>
      <w:lvlText w:val=""/>
      <w:lvlJc w:val="left"/>
      <w:pPr>
        <w:ind w:left="5040" w:hanging="360"/>
      </w:pPr>
      <w:rPr>
        <w:rFonts w:ascii="Symbol" w:hAnsi="Symbol" w:hint="default"/>
      </w:rPr>
    </w:lvl>
    <w:lvl w:ilvl="7" w:tplc="8EFE2048" w:tentative="1">
      <w:start w:val="1"/>
      <w:numFmt w:val="bullet"/>
      <w:lvlText w:val="o"/>
      <w:lvlJc w:val="left"/>
      <w:pPr>
        <w:ind w:left="5760" w:hanging="360"/>
      </w:pPr>
      <w:rPr>
        <w:rFonts w:ascii="Courier New" w:hAnsi="Courier New" w:cs="Courier New" w:hint="default"/>
      </w:rPr>
    </w:lvl>
    <w:lvl w:ilvl="8" w:tplc="D444E4E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524E9"/>
    <w:rsid w:val="00101EBF"/>
    <w:rsid w:val="00115D5D"/>
    <w:rsid w:val="00152ED9"/>
    <w:rsid w:val="001C7B38"/>
    <w:rsid w:val="001E0F27"/>
    <w:rsid w:val="00283568"/>
    <w:rsid w:val="002D25E6"/>
    <w:rsid w:val="003E0027"/>
    <w:rsid w:val="004E497E"/>
    <w:rsid w:val="00505BAB"/>
    <w:rsid w:val="00577ACE"/>
    <w:rsid w:val="006D2426"/>
    <w:rsid w:val="00713F65"/>
    <w:rsid w:val="007172C6"/>
    <w:rsid w:val="007420E8"/>
    <w:rsid w:val="008165F2"/>
    <w:rsid w:val="008225D6"/>
    <w:rsid w:val="00844C28"/>
    <w:rsid w:val="00897F9F"/>
    <w:rsid w:val="008D2742"/>
    <w:rsid w:val="008D3C13"/>
    <w:rsid w:val="008F3762"/>
    <w:rsid w:val="00966A20"/>
    <w:rsid w:val="00992A27"/>
    <w:rsid w:val="00994A3B"/>
    <w:rsid w:val="009966D8"/>
    <w:rsid w:val="00A22D88"/>
    <w:rsid w:val="00AA3E79"/>
    <w:rsid w:val="00AD0D11"/>
    <w:rsid w:val="00C17464"/>
    <w:rsid w:val="00C477E0"/>
    <w:rsid w:val="00D06DE8"/>
    <w:rsid w:val="00D31CC8"/>
    <w:rsid w:val="00D920A3"/>
    <w:rsid w:val="00DB1A34"/>
    <w:rsid w:val="00DC5406"/>
    <w:rsid w:val="00DE247E"/>
    <w:rsid w:val="00DF3883"/>
    <w:rsid w:val="00E251B5"/>
    <w:rsid w:val="00E27404"/>
    <w:rsid w:val="00E95547"/>
    <w:rsid w:val="00F04AF7"/>
    <w:rsid w:val="00F75570"/>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2BBFA9-76E6-4588-9F48-B21C6A69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56C6-644B-42FF-AA11-EADEE2FA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104</Words>
  <Characters>635</Characters>
  <Application>Microsoft Office Word</Application>
  <DocSecurity>0</DocSecurity>
  <Lines>5</Lines>
  <Paragraphs>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20</cp:revision>
  <cp:lastPrinted>2012-12-13T14:15:00Z</cp:lastPrinted>
  <dcterms:created xsi:type="dcterms:W3CDTF">2012-11-01T09:00:00Z</dcterms:created>
  <dcterms:modified xsi:type="dcterms:W3CDTF">2019-08-20T06:55:00Z</dcterms:modified>
</cp:coreProperties>
</file>