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C85" w:rsidRPr="00F9112F" w:rsidRDefault="00F9112F" w:rsidP="008165F2">
      <w:pPr>
        <w:rPr>
          <w:rFonts w:ascii="Arial" w:hAnsi="Arial" w:cs="Arial"/>
          <w:b/>
          <w:sz w:val="36"/>
          <w:szCs w:val="36"/>
          <w:lang w:val="sv-SE"/>
        </w:rPr>
      </w:pPr>
      <w:bookmarkStart w:id="0" w:name="_GoBack"/>
      <w:bookmarkEnd w:id="0"/>
      <w:r w:rsidRPr="00F9112F">
        <w:rPr>
          <w:rFonts w:ascii="Arial" w:hAnsi="Arial" w:cs="Arial"/>
          <w:b/>
          <w:sz w:val="36"/>
          <w:szCs w:val="36"/>
          <w:lang w:val="sv-SE"/>
        </w:rPr>
        <w:t>Reflekt Basic Cleaner Spray</w:t>
      </w:r>
    </w:p>
    <w:p w:rsidR="00AC5C85" w:rsidRPr="00F9112F" w:rsidRDefault="00C07B23" w:rsidP="008165F2">
      <w:pPr>
        <w:rPr>
          <w:noProof/>
          <w:lang w:val="sv-SE"/>
        </w:rPr>
      </w:pPr>
      <w:r>
        <w:rPr>
          <w:noProof/>
        </w:rPr>
        <w:drawing>
          <wp:inline distT="0" distB="0" distL="0" distR="0" wp14:anchorId="6995F944" wp14:editId="39889413">
            <wp:extent cx="781200" cy="16596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200" cy="1659600"/>
                    </a:xfrm>
                    <a:prstGeom prst="rect">
                      <a:avLst/>
                    </a:prstGeom>
                    <a:noFill/>
                    <a:ln>
                      <a:noFill/>
                    </a:ln>
                  </pic:spPr>
                </pic:pic>
              </a:graphicData>
            </a:graphic>
          </wp:inline>
        </w:drawing>
      </w:r>
      <w:r w:rsidR="00F9112F" w:rsidRPr="00F9112F">
        <w:rPr>
          <w:noProof/>
          <w:lang w:val="en-US" w:eastAsia="zh-TW"/>
        </w:rPr>
        <w:drawing>
          <wp:anchor distT="0" distB="0" distL="114300" distR="114300" simplePos="0" relativeHeight="251659264"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038761" name="Bild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p>
    <w:p w:rsidR="007172C6" w:rsidRPr="00F9112F" w:rsidRDefault="00D87A1A" w:rsidP="008165F2">
      <w:pPr>
        <w:rPr>
          <w:rFonts w:ascii="Arial" w:hAnsi="Arial" w:cs="Arial"/>
          <w:b/>
          <w:sz w:val="32"/>
          <w:szCs w:val="32"/>
          <w:lang w:val="sv-SE"/>
        </w:rPr>
      </w:pPr>
      <w:r>
        <w:rPr>
          <w:rFonts w:ascii="Arial" w:eastAsia="Times New Roman" w:hAnsi="Arial" w:cs="Arial"/>
          <w:noProof/>
          <w:sz w:val="24"/>
          <w:szCs w:val="24"/>
          <w:lang w:val="sv-SE"/>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3713480</wp:posOffset>
                </wp:positionV>
                <wp:extent cx="6642100" cy="4036060"/>
                <wp:effectExtent l="9525" t="10795" r="1587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036060"/>
                        </a:xfrm>
                        <a:prstGeom prst="rect">
                          <a:avLst/>
                        </a:prstGeom>
                        <a:solidFill>
                          <a:srgbClr val="FFFFFF"/>
                        </a:solidFill>
                        <a:ln w="19050">
                          <a:solidFill>
                            <a:srgbClr val="000000"/>
                          </a:solidFill>
                          <a:miter lim="800000"/>
                          <a:headEnd/>
                          <a:tailEnd/>
                        </a:ln>
                      </wps:spPr>
                      <wps:txbx>
                        <w:txbxContent>
                          <w:p w:rsidR="00E95547" w:rsidRPr="00AC5C85" w:rsidRDefault="00E95547" w:rsidP="006D2426">
                            <w:pPr>
                              <w:spacing w:after="0"/>
                              <w:rPr>
                                <w:rFonts w:ascii="Arial" w:eastAsia="Times New Roman" w:hAnsi="Arial" w:cs="Arial"/>
                                <w:b/>
                                <w:sz w:val="20"/>
                                <w:szCs w:val="20"/>
                                <w:lang w:val="sv-SE" w:eastAsia="sv-SE"/>
                              </w:rPr>
                            </w:pPr>
                          </w:p>
                          <w:p w:rsidR="00E95547" w:rsidRPr="00C07B23" w:rsidRDefault="00F9112F" w:rsidP="006D2426">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Technische Daten:</w:t>
                            </w:r>
                          </w:p>
                          <w:p w:rsidR="00E95547" w:rsidRPr="00C07B23" w:rsidRDefault="00F9112F"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Dichte:</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ca. 1,10 kg/l</w:t>
                            </w:r>
                          </w:p>
                          <w:p w:rsidR="00E95547" w:rsidRPr="00C07B23" w:rsidRDefault="00F9112F"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Zusätzliche Informationen:</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flüssig</w:t>
                            </w:r>
                          </w:p>
                          <w:p w:rsidR="00E95547" w:rsidRPr="00C07B23" w:rsidRDefault="00F9112F" w:rsidP="00CB0545">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pH-Konzentrat:                 </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ca. 11</w:t>
                            </w:r>
                          </w:p>
                          <w:p w:rsidR="00E95547" w:rsidRPr="00C07B23" w:rsidRDefault="00F9112F"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pH-Anwendungslösung 1%-ig:</w:t>
                            </w:r>
                            <w:r>
                              <w:rPr>
                                <w:rFonts w:ascii="Arial" w:eastAsia="Arial" w:hAnsi="Arial" w:cs="Arial"/>
                                <w:sz w:val="20"/>
                                <w:szCs w:val="20"/>
                                <w:bdr w:val="nil"/>
                                <w:lang w:val="de-DE" w:eastAsia="sv-SE"/>
                              </w:rPr>
                              <w:t xml:space="preserve">  </w:t>
                            </w:r>
                            <w:r>
                              <w:rPr>
                                <w:rFonts w:ascii="Arial" w:eastAsia="Arial" w:hAnsi="Arial" w:cs="Arial"/>
                                <w:sz w:val="20"/>
                                <w:szCs w:val="20"/>
                                <w:bdr w:val="nil"/>
                                <w:lang w:val="de-DE" w:eastAsia="sv-SE"/>
                              </w:rPr>
                              <w:tab/>
                              <w:t>ca. 10,5</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 xml:space="preserve">                     </w:t>
                            </w:r>
                          </w:p>
                          <w:p w:rsidR="00E95547" w:rsidRPr="00C07B23" w:rsidRDefault="00F9112F" w:rsidP="00CB0545">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Inhaltsstoffe:</w:t>
                            </w:r>
                            <w:r>
                              <w:rPr>
                                <w:rFonts w:ascii="Arial" w:eastAsia="Arial" w:hAnsi="Arial" w:cs="Arial"/>
                                <w:b/>
                                <w:bCs/>
                                <w:sz w:val="20"/>
                                <w:szCs w:val="20"/>
                                <w:bdr w:val="nil"/>
                                <w:lang w:val="de-DE" w:eastAsia="sv-SE"/>
                              </w:rPr>
                              <w:tab/>
                            </w:r>
                          </w:p>
                          <w:p w:rsidR="00C07B23" w:rsidRPr="00C07B23" w:rsidRDefault="00C07B23" w:rsidP="00C07B23">
                            <w:pPr>
                              <w:spacing w:line="240" w:lineRule="auto"/>
                              <w:contextualSpacing/>
                              <w:rPr>
                                <w:lang w:val="de-DE"/>
                              </w:rPr>
                            </w:pPr>
                            <w:r w:rsidRPr="00C07B23">
                              <w:rPr>
                                <w:lang w:val="de-DE"/>
                              </w:rPr>
                              <w:t xml:space="preserve">Aqua </w:t>
                            </w:r>
                          </w:p>
                          <w:p w:rsidR="00C07B23" w:rsidRPr="00C07B23" w:rsidRDefault="00C07B23" w:rsidP="00C07B23">
                            <w:pPr>
                              <w:spacing w:line="240" w:lineRule="auto"/>
                              <w:contextualSpacing/>
                              <w:rPr>
                                <w:lang w:val="de-DE"/>
                              </w:rPr>
                            </w:pPr>
                            <w:r w:rsidRPr="00C07B23">
                              <w:rPr>
                                <w:lang w:val="de-DE"/>
                              </w:rPr>
                              <w:t xml:space="preserve">Sodium Carbonate </w:t>
                            </w:r>
                          </w:p>
                          <w:p w:rsidR="00C07B23" w:rsidRPr="00C07B23" w:rsidRDefault="00C07B23" w:rsidP="00C07B23">
                            <w:pPr>
                              <w:spacing w:line="240" w:lineRule="auto"/>
                              <w:contextualSpacing/>
                              <w:rPr>
                                <w:lang w:val="de-DE"/>
                              </w:rPr>
                            </w:pPr>
                            <w:r w:rsidRPr="00C07B23">
                              <w:rPr>
                                <w:lang w:val="de-DE"/>
                              </w:rPr>
                              <w:t xml:space="preserve">Trideceth-10 </w:t>
                            </w:r>
                          </w:p>
                          <w:p w:rsidR="00C07B23" w:rsidRPr="00C07B23" w:rsidRDefault="00C07B23" w:rsidP="00C07B23">
                            <w:pPr>
                              <w:spacing w:line="240" w:lineRule="auto"/>
                              <w:contextualSpacing/>
                              <w:rPr>
                                <w:lang w:val="de-DE"/>
                              </w:rPr>
                            </w:pPr>
                            <w:r w:rsidRPr="00C07B23">
                              <w:rPr>
                                <w:lang w:val="de-DE"/>
                              </w:rPr>
                              <w:t xml:space="preserve">Disodium 2-Ethylhexyl Dipropionate </w:t>
                            </w:r>
                          </w:p>
                          <w:p w:rsidR="00C07B23" w:rsidRDefault="00C07B23" w:rsidP="00C07B23">
                            <w:pPr>
                              <w:spacing w:line="240" w:lineRule="auto"/>
                              <w:contextualSpacing/>
                              <w:rPr>
                                <w:lang w:val="sv-SE"/>
                              </w:rPr>
                            </w:pPr>
                            <w:r>
                              <w:rPr>
                                <w:lang w:val="sv-SE"/>
                              </w:rPr>
                              <w:t xml:space="preserve">2-Propylheptanol ethoxylated </w:t>
                            </w:r>
                          </w:p>
                          <w:p w:rsidR="00C07B23" w:rsidRDefault="00C07B23" w:rsidP="00C07B23">
                            <w:pPr>
                              <w:spacing w:line="240" w:lineRule="auto"/>
                              <w:contextualSpacing/>
                              <w:rPr>
                                <w:lang w:val="sv-SE"/>
                              </w:rPr>
                            </w:pPr>
                            <w:r>
                              <w:rPr>
                                <w:lang w:val="sv-SE"/>
                              </w:rPr>
                              <w:t xml:space="preserve">Tetrapotassium Pyrophosphate </w:t>
                            </w:r>
                          </w:p>
                          <w:p w:rsidR="00E95547" w:rsidRDefault="00E95547" w:rsidP="006D2426">
                            <w:pPr>
                              <w:spacing w:after="0"/>
                              <w:rPr>
                                <w:rFonts w:ascii="Arial" w:eastAsia="Times New Roman" w:hAnsi="Arial" w:cs="Arial"/>
                                <w:sz w:val="20"/>
                                <w:szCs w:val="20"/>
                                <w:lang w:val="sv-SE" w:eastAsia="sv-SE"/>
                              </w:rPr>
                            </w:pPr>
                          </w:p>
                          <w:p w:rsidR="00C07B23" w:rsidRPr="00C07B23" w:rsidRDefault="00C07B23" w:rsidP="006D2426">
                            <w:pPr>
                              <w:spacing w:after="0"/>
                              <w:rPr>
                                <w:rFonts w:ascii="Arial" w:eastAsia="Times New Roman" w:hAnsi="Arial" w:cs="Arial"/>
                                <w:sz w:val="20"/>
                                <w:szCs w:val="20"/>
                                <w:lang w:val="de-DE" w:eastAsia="sv-SE"/>
                              </w:rPr>
                            </w:pPr>
                            <w:r w:rsidRPr="00C07B23">
                              <w:rPr>
                                <w:rFonts w:ascii="Arial" w:eastAsia="Times New Roman" w:hAnsi="Arial" w:cs="Arial"/>
                                <w:sz w:val="20"/>
                                <w:szCs w:val="20"/>
                                <w:lang w:val="de-DE" w:eastAsia="sv-SE"/>
                              </w:rPr>
                              <w:t>Weitere Informationen zu INCI-Namen für Inhaltsstoffe finden Sie unter CosIng</w:t>
                            </w:r>
                          </w:p>
                          <w:p w:rsidR="00C07B23" w:rsidRPr="00C07B23" w:rsidRDefault="00C07B23" w:rsidP="006D2426">
                            <w:pPr>
                              <w:spacing w:after="0"/>
                              <w:rPr>
                                <w:rFonts w:ascii="Arial" w:eastAsia="Times New Roman" w:hAnsi="Arial" w:cs="Arial"/>
                                <w:sz w:val="20"/>
                                <w:szCs w:val="20"/>
                                <w:lang w:val="de-DE" w:eastAsia="sv-SE"/>
                              </w:rPr>
                            </w:pPr>
                          </w:p>
                          <w:p w:rsidR="00E95547" w:rsidRPr="00C07B23" w:rsidRDefault="00F9112F" w:rsidP="008165F2">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Lagerung:</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kühl, frostfrei und gut verschlossen</w:t>
                            </w:r>
                          </w:p>
                          <w:p w:rsidR="00AC5C85" w:rsidRPr="00C07B23" w:rsidRDefault="00AC5C85" w:rsidP="008165F2">
                            <w:pPr>
                              <w:spacing w:after="0"/>
                              <w:rPr>
                                <w:rFonts w:ascii="Arial" w:eastAsia="Times New Roman" w:hAnsi="Arial" w:cs="Arial"/>
                                <w:sz w:val="20"/>
                                <w:szCs w:val="20"/>
                                <w:lang w:val="de-DE" w:eastAsia="sv-SE"/>
                              </w:rPr>
                            </w:pPr>
                          </w:p>
                          <w:p w:rsidR="00E95547" w:rsidRPr="00C07B23" w:rsidRDefault="00F9112F" w:rsidP="008165F2">
                            <w:pPr>
                              <w:spacing w:after="0"/>
                              <w:ind w:left="2608" w:hanging="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Umweltinformationen:</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Vor der Reinigung mit Wasser so viel Farbe wie möglich vom Werkzeug entfernen. Im Wasser verbleibende Farbreste und Spülwasser dürfen nicht in den Ausguss gegossen werden, sondern sind in einer lokalen Schadstoffsammelstelle abzugeben.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75pt;margin-top:292.4pt;width:523pt;height:3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pQKAIAAEkEAAAOAAAAZHJzL2Uyb0RvYy54bWysVNuO0zAQfUfiHyy/01zolt2o6WrVpQhp&#10;gRULH+A4TmLhG2O3yfL1jJ1u6QJPiDxYnsz45Mw546yvJ63IQYCX1tS0WOSUCMNtK01f069fdq8u&#10;KfGBmZYpa0RNH4Wn15uXL9ajq0RpB6taAQRBjK9GV9MhBFdlmeeD0MwvrBMGk50FzQKG0GctsBHR&#10;tcrKPF9lo4XWgeXCe3x7OyfpJuF3neDhU9d5EYiqKXILaYW0NnHNNmtW9cDcIPmRBvsHFppJgx89&#10;Qd2ywMge5B9QWnKw3nZhwa3ObNdJLlIP2E2R/9bNw8CcSL2gON6dZPL/D5Z/PNwDkW1NS0oM02jR&#10;ZxSNmV4JUkZ5RucrrHpw9xAb9O7O8m+eGLsdsErcANhxEKxFUkWsz54diIHHo6QZP9gW0dk+2KTU&#10;1IGOgKgBmZIhjydDxBQIx5er1bIscvSNY26Zv17lq2RZxqqn4w58eCesJnFTU0DyCZ4d7nyIdFj1&#10;VJLoWyXbnVQqBdA3WwXkwHA6dulJHWCX52XKkBGbu8ov8gT9LOnPMfL0/A1Dy4BzrqSu6eWpiFVR&#10;uLemTVMYmFTzHjkrc1QyijebEKZmOvrR2PYRNQU7zzPeP9wMFn5QMuIs19R/3zMQlKj3Bn25KpbL&#10;OPwpWF68KTGA80xznmGGI1RNAyXzdhvmC7N3IPsBv1QkGYy9QS87mVSOPs+sjrxxXpP4x7sVL8R5&#10;nKp+/QE2PwEAAP//AwBQSwMEFAAGAAgAAAAhACMtxprjAAAADAEAAA8AAABkcnMvZG93bnJldi54&#10;bWxMj0FPwzAMhe9I/IfISFzQltBtUJWmE9rgwmESYxIcvca0FU1SNenW8evxTuxm+z09fy9fjrYV&#10;B+pD452G+6kCQa70pnGVht3H6yQFESI6g613pOFEAZbF9VWOmfFH906HbawEh7iQoYY6xi6TMpQ1&#10;WQxT35Fj7dv3FiOvfSVNj0cOt61MlHqQFhvHH2rsaFVT+bMdrIbuc4X2ZSPjW3+a/X4Nu816re60&#10;vr0Zn59ARBrjvxnO+IwOBTPt/eBMEK2GyeOCnRoW6ZwrnA1qlvJpz1OSqDnIIpeXJYo/AAAA//8D&#10;AFBLAQItABQABgAIAAAAIQC2gziS/gAAAOEBAAATAAAAAAAAAAAAAAAAAAAAAABbQ29udGVudF9U&#10;eXBlc10ueG1sUEsBAi0AFAAGAAgAAAAhADj9If/WAAAAlAEAAAsAAAAAAAAAAAAAAAAALwEAAF9y&#10;ZWxzLy5yZWxzUEsBAi0AFAAGAAgAAAAhABORmlAoAgAASQQAAA4AAAAAAAAAAAAAAAAALgIAAGRy&#10;cy9lMm9Eb2MueG1sUEsBAi0AFAAGAAgAAAAhACMtxprjAAAADAEAAA8AAAAAAAAAAAAAAAAAggQA&#10;AGRycy9kb3ducmV2LnhtbFBLBQYAAAAABAAEAPMAAACSBQAAAAA=&#10;" strokeweight="1.5pt">
                <v:textbox>
                  <w:txbxContent>
                    <w:p w:rsidR="00E95547" w:rsidRPr="00AC5C85" w:rsidRDefault="00E95547" w:rsidP="006D2426">
                      <w:pPr>
                        <w:spacing w:after="0"/>
                        <w:rPr>
                          <w:rFonts w:ascii="Arial" w:eastAsia="Times New Roman" w:hAnsi="Arial" w:cs="Arial"/>
                          <w:b/>
                          <w:sz w:val="20"/>
                          <w:szCs w:val="20"/>
                          <w:lang w:val="sv-SE" w:eastAsia="sv-SE"/>
                        </w:rPr>
                      </w:pPr>
                    </w:p>
                    <w:p w:rsidR="00E95547" w:rsidRPr="00C07B23" w:rsidRDefault="00F9112F" w:rsidP="006D2426">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Technische Daten:</w:t>
                      </w:r>
                    </w:p>
                    <w:p w:rsidR="00E95547" w:rsidRPr="00C07B23" w:rsidRDefault="00F9112F"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Dichte:</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ca. 1,10 kg/l</w:t>
                      </w:r>
                    </w:p>
                    <w:p w:rsidR="00E95547" w:rsidRPr="00C07B23" w:rsidRDefault="00F9112F"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Zusätzliche Informationen:</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flüssig</w:t>
                      </w:r>
                    </w:p>
                    <w:p w:rsidR="00E95547" w:rsidRPr="00C07B23" w:rsidRDefault="00F9112F" w:rsidP="00CB0545">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 xml:space="preserve">pH-Konzentrat:                 </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ca. 11</w:t>
                      </w:r>
                    </w:p>
                    <w:p w:rsidR="00E95547" w:rsidRPr="00C07B23" w:rsidRDefault="00F9112F" w:rsidP="006D2426">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pH-Anwendungslösung 1%-ig:</w:t>
                      </w:r>
                      <w:r>
                        <w:rPr>
                          <w:rFonts w:ascii="Arial" w:eastAsia="Arial" w:hAnsi="Arial" w:cs="Arial"/>
                          <w:sz w:val="20"/>
                          <w:szCs w:val="20"/>
                          <w:bdr w:val="nil"/>
                          <w:lang w:val="de-DE" w:eastAsia="sv-SE"/>
                        </w:rPr>
                        <w:t xml:space="preserve">  </w:t>
                      </w:r>
                      <w:r>
                        <w:rPr>
                          <w:rFonts w:ascii="Arial" w:eastAsia="Arial" w:hAnsi="Arial" w:cs="Arial"/>
                          <w:sz w:val="20"/>
                          <w:szCs w:val="20"/>
                          <w:bdr w:val="nil"/>
                          <w:lang w:val="de-DE" w:eastAsia="sv-SE"/>
                        </w:rPr>
                        <w:tab/>
                        <w:t>ca. 10,5</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 xml:space="preserve">                     </w:t>
                      </w:r>
                    </w:p>
                    <w:p w:rsidR="00E95547" w:rsidRPr="00C07B23" w:rsidRDefault="00F9112F" w:rsidP="00CB0545">
                      <w:pPr>
                        <w:spacing w:after="0"/>
                        <w:rPr>
                          <w:rFonts w:ascii="Arial" w:eastAsia="Times New Roman" w:hAnsi="Arial" w:cs="Arial"/>
                          <w:b/>
                          <w:sz w:val="20"/>
                          <w:szCs w:val="20"/>
                          <w:lang w:val="de-DE" w:eastAsia="sv-SE"/>
                        </w:rPr>
                      </w:pPr>
                      <w:r>
                        <w:rPr>
                          <w:rFonts w:ascii="Arial" w:eastAsia="Arial" w:hAnsi="Arial" w:cs="Arial"/>
                          <w:b/>
                          <w:bCs/>
                          <w:sz w:val="20"/>
                          <w:szCs w:val="20"/>
                          <w:bdr w:val="nil"/>
                          <w:lang w:val="de-DE" w:eastAsia="sv-SE"/>
                        </w:rPr>
                        <w:t>Inhaltsstoffe:</w:t>
                      </w:r>
                      <w:r>
                        <w:rPr>
                          <w:rFonts w:ascii="Arial" w:eastAsia="Arial" w:hAnsi="Arial" w:cs="Arial"/>
                          <w:b/>
                          <w:bCs/>
                          <w:sz w:val="20"/>
                          <w:szCs w:val="20"/>
                          <w:bdr w:val="nil"/>
                          <w:lang w:val="de-DE" w:eastAsia="sv-SE"/>
                        </w:rPr>
                        <w:tab/>
                      </w:r>
                    </w:p>
                    <w:p w:rsidR="00C07B23" w:rsidRPr="00C07B23" w:rsidRDefault="00C07B23" w:rsidP="00C07B23">
                      <w:pPr>
                        <w:spacing w:line="240" w:lineRule="auto"/>
                        <w:contextualSpacing/>
                        <w:rPr>
                          <w:lang w:val="de-DE"/>
                        </w:rPr>
                      </w:pPr>
                      <w:r w:rsidRPr="00C07B23">
                        <w:rPr>
                          <w:lang w:val="de-DE"/>
                        </w:rPr>
                        <w:t xml:space="preserve">Aqua </w:t>
                      </w:r>
                    </w:p>
                    <w:p w:rsidR="00C07B23" w:rsidRPr="00C07B23" w:rsidRDefault="00C07B23" w:rsidP="00C07B23">
                      <w:pPr>
                        <w:spacing w:line="240" w:lineRule="auto"/>
                        <w:contextualSpacing/>
                        <w:rPr>
                          <w:lang w:val="de-DE"/>
                        </w:rPr>
                      </w:pPr>
                      <w:r w:rsidRPr="00C07B23">
                        <w:rPr>
                          <w:lang w:val="de-DE"/>
                        </w:rPr>
                        <w:t xml:space="preserve">Sodium Carbonate </w:t>
                      </w:r>
                    </w:p>
                    <w:p w:rsidR="00C07B23" w:rsidRPr="00C07B23" w:rsidRDefault="00C07B23" w:rsidP="00C07B23">
                      <w:pPr>
                        <w:spacing w:line="240" w:lineRule="auto"/>
                        <w:contextualSpacing/>
                        <w:rPr>
                          <w:lang w:val="de-DE"/>
                        </w:rPr>
                      </w:pPr>
                      <w:r w:rsidRPr="00C07B23">
                        <w:rPr>
                          <w:lang w:val="de-DE"/>
                        </w:rPr>
                        <w:t xml:space="preserve">Trideceth-10 </w:t>
                      </w:r>
                    </w:p>
                    <w:p w:rsidR="00C07B23" w:rsidRPr="00C07B23" w:rsidRDefault="00C07B23" w:rsidP="00C07B23">
                      <w:pPr>
                        <w:spacing w:line="240" w:lineRule="auto"/>
                        <w:contextualSpacing/>
                        <w:rPr>
                          <w:lang w:val="de-DE"/>
                        </w:rPr>
                      </w:pPr>
                      <w:r w:rsidRPr="00C07B23">
                        <w:rPr>
                          <w:lang w:val="de-DE"/>
                        </w:rPr>
                        <w:t xml:space="preserve">Disodium 2-Ethylhexyl Dipropionate </w:t>
                      </w:r>
                    </w:p>
                    <w:p w:rsidR="00C07B23" w:rsidRDefault="00C07B23" w:rsidP="00C07B23">
                      <w:pPr>
                        <w:spacing w:line="240" w:lineRule="auto"/>
                        <w:contextualSpacing/>
                        <w:rPr>
                          <w:lang w:val="sv-SE"/>
                        </w:rPr>
                      </w:pPr>
                      <w:r>
                        <w:rPr>
                          <w:lang w:val="sv-SE"/>
                        </w:rPr>
                        <w:t xml:space="preserve">2-Propylheptanol ethoxylated </w:t>
                      </w:r>
                    </w:p>
                    <w:p w:rsidR="00C07B23" w:rsidRDefault="00C07B23" w:rsidP="00C07B23">
                      <w:pPr>
                        <w:spacing w:line="240" w:lineRule="auto"/>
                        <w:contextualSpacing/>
                        <w:rPr>
                          <w:lang w:val="sv-SE"/>
                        </w:rPr>
                      </w:pPr>
                      <w:r>
                        <w:rPr>
                          <w:lang w:val="sv-SE"/>
                        </w:rPr>
                        <w:t xml:space="preserve">Tetrapotassium Pyrophosphate </w:t>
                      </w:r>
                    </w:p>
                    <w:p w:rsidR="00E95547" w:rsidRDefault="00E95547" w:rsidP="006D2426">
                      <w:pPr>
                        <w:spacing w:after="0"/>
                        <w:rPr>
                          <w:rFonts w:ascii="Arial" w:eastAsia="Times New Roman" w:hAnsi="Arial" w:cs="Arial"/>
                          <w:sz w:val="20"/>
                          <w:szCs w:val="20"/>
                          <w:lang w:val="sv-SE" w:eastAsia="sv-SE"/>
                        </w:rPr>
                      </w:pPr>
                    </w:p>
                    <w:p w:rsidR="00C07B23" w:rsidRPr="00C07B23" w:rsidRDefault="00C07B23" w:rsidP="006D2426">
                      <w:pPr>
                        <w:spacing w:after="0"/>
                        <w:rPr>
                          <w:rFonts w:ascii="Arial" w:eastAsia="Times New Roman" w:hAnsi="Arial" w:cs="Arial"/>
                          <w:sz w:val="20"/>
                          <w:szCs w:val="20"/>
                          <w:lang w:val="de-DE" w:eastAsia="sv-SE"/>
                        </w:rPr>
                      </w:pPr>
                      <w:r w:rsidRPr="00C07B23">
                        <w:rPr>
                          <w:rFonts w:ascii="Arial" w:eastAsia="Times New Roman" w:hAnsi="Arial" w:cs="Arial"/>
                          <w:sz w:val="20"/>
                          <w:szCs w:val="20"/>
                          <w:lang w:val="de-DE" w:eastAsia="sv-SE"/>
                        </w:rPr>
                        <w:t>Weitere Informationen zu INCI-Namen für Inhaltsstoffe finden Sie unter CosIng</w:t>
                      </w:r>
                    </w:p>
                    <w:p w:rsidR="00C07B23" w:rsidRPr="00C07B23" w:rsidRDefault="00C07B23" w:rsidP="006D2426">
                      <w:pPr>
                        <w:spacing w:after="0"/>
                        <w:rPr>
                          <w:rFonts w:ascii="Arial" w:eastAsia="Times New Roman" w:hAnsi="Arial" w:cs="Arial"/>
                          <w:sz w:val="20"/>
                          <w:szCs w:val="20"/>
                          <w:lang w:val="de-DE" w:eastAsia="sv-SE"/>
                        </w:rPr>
                      </w:pPr>
                    </w:p>
                    <w:p w:rsidR="00E95547" w:rsidRPr="00C07B23" w:rsidRDefault="00F9112F" w:rsidP="008165F2">
                      <w:pPr>
                        <w:spacing w:after="0"/>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Lagerung:</w:t>
                      </w:r>
                      <w:r>
                        <w:rPr>
                          <w:rFonts w:ascii="Arial" w:eastAsia="Arial" w:hAnsi="Arial" w:cs="Arial"/>
                          <w:b/>
                          <w:bCs/>
                          <w:sz w:val="20"/>
                          <w:szCs w:val="20"/>
                          <w:bdr w:val="nil"/>
                          <w:lang w:val="de-DE" w:eastAsia="sv-SE"/>
                        </w:rPr>
                        <w:tab/>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kühl, frostfrei und gut verschlossen</w:t>
                      </w:r>
                    </w:p>
                    <w:p w:rsidR="00AC5C85" w:rsidRPr="00C07B23" w:rsidRDefault="00AC5C85" w:rsidP="008165F2">
                      <w:pPr>
                        <w:spacing w:after="0"/>
                        <w:rPr>
                          <w:rFonts w:ascii="Arial" w:eastAsia="Times New Roman" w:hAnsi="Arial" w:cs="Arial"/>
                          <w:sz w:val="20"/>
                          <w:szCs w:val="20"/>
                          <w:lang w:val="de-DE" w:eastAsia="sv-SE"/>
                        </w:rPr>
                      </w:pPr>
                    </w:p>
                    <w:p w:rsidR="00E95547" w:rsidRPr="00C07B23" w:rsidRDefault="00F9112F" w:rsidP="008165F2">
                      <w:pPr>
                        <w:spacing w:after="0"/>
                        <w:ind w:left="2608" w:hanging="2608"/>
                        <w:rPr>
                          <w:rFonts w:ascii="Arial" w:eastAsia="Times New Roman" w:hAnsi="Arial" w:cs="Arial"/>
                          <w:sz w:val="20"/>
                          <w:szCs w:val="20"/>
                          <w:lang w:val="de-DE" w:eastAsia="sv-SE"/>
                        </w:rPr>
                      </w:pPr>
                      <w:r>
                        <w:rPr>
                          <w:rFonts w:ascii="Arial" w:eastAsia="Arial" w:hAnsi="Arial" w:cs="Arial"/>
                          <w:b/>
                          <w:bCs/>
                          <w:sz w:val="20"/>
                          <w:szCs w:val="20"/>
                          <w:bdr w:val="nil"/>
                          <w:lang w:val="de-DE" w:eastAsia="sv-SE"/>
                        </w:rPr>
                        <w:t>Umweltinformationen:</w:t>
                      </w:r>
                      <w:r>
                        <w:rPr>
                          <w:rFonts w:ascii="Arial" w:eastAsia="Arial" w:hAnsi="Arial" w:cs="Arial"/>
                          <w:b/>
                          <w:bCs/>
                          <w:sz w:val="20"/>
                          <w:szCs w:val="20"/>
                          <w:bdr w:val="nil"/>
                          <w:lang w:val="de-DE" w:eastAsia="sv-SE"/>
                        </w:rPr>
                        <w:tab/>
                      </w:r>
                      <w:r>
                        <w:rPr>
                          <w:rFonts w:ascii="Arial" w:eastAsia="Arial" w:hAnsi="Arial" w:cs="Arial"/>
                          <w:sz w:val="20"/>
                          <w:szCs w:val="20"/>
                          <w:bdr w:val="nil"/>
                          <w:lang w:val="de-DE" w:eastAsia="sv-SE"/>
                        </w:rPr>
                        <w:t>Vor der Reinigung mit Wasser so viel Farbe wie möglich vom Werkzeug entfernen. Im Wasser verbleibende Farbreste und Spülwasser dürfen nicht in den Ausguss gegossen werden, sondern sind in einer lokalen Schadstoffsammelstelle abzugeben.</w:t>
                      </w:r>
                    </w:p>
                  </w:txbxContent>
                </v:textbox>
              </v:rect>
            </w:pict>
          </mc:Fallback>
        </mc:AlternateContent>
      </w:r>
      <w:r w:rsidR="00F9112F" w:rsidRPr="00F9112F">
        <w:rPr>
          <w:rFonts w:ascii="Arial" w:eastAsia="Arial" w:hAnsi="Arial" w:cs="Arial"/>
          <w:b/>
          <w:bCs/>
          <w:sz w:val="36"/>
          <w:szCs w:val="36"/>
          <w:bdr w:val="nil"/>
          <w:lang w:val="de-DE"/>
        </w:rPr>
        <w:t xml:space="preserve">Produktdatenblatt – Reflekt </w:t>
      </w:r>
      <w:r w:rsidR="00C07B23">
        <w:rPr>
          <w:rFonts w:ascii="Arial" w:eastAsia="Arial" w:hAnsi="Arial" w:cs="Arial"/>
          <w:b/>
          <w:bCs/>
          <w:sz w:val="36"/>
          <w:szCs w:val="36"/>
          <w:bdr w:val="nil"/>
          <w:lang w:val="de-DE"/>
        </w:rPr>
        <w:t>Farb</w:t>
      </w:r>
      <w:r w:rsidR="00F9112F" w:rsidRPr="00F9112F">
        <w:rPr>
          <w:rFonts w:ascii="Arial" w:eastAsia="Arial" w:hAnsi="Arial" w:cs="Arial"/>
          <w:b/>
          <w:bCs/>
          <w:sz w:val="36"/>
          <w:szCs w:val="36"/>
          <w:bdr w:val="nil"/>
          <w:lang w:val="de-DE"/>
        </w:rPr>
        <w:t>reiniger Spray</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3C5297" w:rsidRPr="00C07B23" w:rsidTr="006D2426">
        <w:trPr>
          <w:tblCellSpacing w:w="0" w:type="dxa"/>
        </w:trPr>
        <w:tc>
          <w:tcPr>
            <w:tcW w:w="0" w:type="auto"/>
            <w:tcMar>
              <w:top w:w="0" w:type="dxa"/>
              <w:left w:w="0" w:type="dxa"/>
              <w:bottom w:w="200" w:type="dxa"/>
              <w:right w:w="600" w:type="dxa"/>
            </w:tcMar>
            <w:hideMark/>
          </w:tcPr>
          <w:p w:rsidR="008D3C13" w:rsidRPr="00F9112F" w:rsidRDefault="00F9112F" w:rsidP="008D3C13">
            <w:pPr>
              <w:spacing w:after="0" w:line="240" w:lineRule="auto"/>
              <w:rPr>
                <w:rFonts w:ascii="Arial" w:eastAsia="Times New Roman" w:hAnsi="Arial" w:cs="Arial"/>
                <w:b/>
                <w:sz w:val="20"/>
                <w:szCs w:val="24"/>
                <w:lang w:val="sv-SE" w:eastAsia="sv-SE"/>
              </w:rPr>
            </w:pPr>
            <w:r w:rsidRPr="00F9112F">
              <w:rPr>
                <w:rFonts w:ascii="Arial" w:eastAsia="Arial" w:hAnsi="Arial" w:cs="Arial"/>
                <w:b/>
                <w:bCs/>
                <w:sz w:val="20"/>
                <w:szCs w:val="20"/>
                <w:bdr w:val="nil"/>
                <w:lang w:val="de-DE" w:eastAsia="sv-SE"/>
              </w:rPr>
              <w:t xml:space="preserve">Produktbeschreibung: </w:t>
            </w:r>
          </w:p>
        </w:tc>
        <w:tc>
          <w:tcPr>
            <w:tcW w:w="3590" w:type="pct"/>
            <w:tcMar>
              <w:top w:w="0" w:type="dxa"/>
              <w:left w:w="0" w:type="dxa"/>
              <w:bottom w:w="520" w:type="dxa"/>
              <w:right w:w="0" w:type="dxa"/>
            </w:tcMar>
            <w:hideMark/>
          </w:tcPr>
          <w:p w:rsidR="008D3C13" w:rsidRPr="00C07B23" w:rsidRDefault="00F9112F" w:rsidP="00AC5C85">
            <w:pPr>
              <w:rPr>
                <w:rFonts w:ascii="Arial" w:hAnsi="Arial" w:cs="Arial"/>
                <w:sz w:val="20"/>
                <w:szCs w:val="24"/>
                <w:lang w:val="de-DE"/>
              </w:rPr>
            </w:pPr>
            <w:r w:rsidRPr="00F9112F">
              <w:rPr>
                <w:rFonts w:ascii="Arial" w:eastAsia="Arial" w:hAnsi="Arial" w:cs="Arial"/>
                <w:sz w:val="20"/>
                <w:szCs w:val="20"/>
                <w:bdr w:val="nil"/>
                <w:lang w:val="de-DE"/>
              </w:rPr>
              <w:t xml:space="preserve">REFLEKT </w:t>
            </w:r>
            <w:r w:rsidR="00C07B23">
              <w:rPr>
                <w:rFonts w:ascii="Arial" w:eastAsia="Arial" w:hAnsi="Arial" w:cs="Arial"/>
                <w:sz w:val="20"/>
                <w:szCs w:val="20"/>
                <w:bdr w:val="nil"/>
                <w:lang w:val="de-DE"/>
              </w:rPr>
              <w:t>Farb</w:t>
            </w:r>
            <w:r w:rsidRPr="00F9112F">
              <w:rPr>
                <w:rFonts w:ascii="Arial" w:eastAsia="Arial" w:hAnsi="Arial" w:cs="Arial"/>
                <w:sz w:val="20"/>
                <w:szCs w:val="20"/>
                <w:bdr w:val="nil"/>
                <w:lang w:val="de-DE"/>
              </w:rPr>
              <w:t>reiniger Spray für eine effektive Reinigung von Oberflächen im Innen- und Außenbereich vor dem Anstrich. Löst Schmutz, Fett, Luftverunreinigungen, Ruß, Nikotin und mehr. In niedrigerer Dosierung auch für die ständige Reinhaltung geeignet.</w:t>
            </w:r>
          </w:p>
        </w:tc>
      </w:tr>
      <w:tr w:rsidR="003C5297" w:rsidRPr="00C07B23" w:rsidTr="006D2426">
        <w:trPr>
          <w:tblCellSpacing w:w="0" w:type="dxa"/>
        </w:trPr>
        <w:tc>
          <w:tcPr>
            <w:tcW w:w="0" w:type="auto"/>
            <w:tcMar>
              <w:top w:w="0" w:type="dxa"/>
              <w:left w:w="0" w:type="dxa"/>
              <w:bottom w:w="200" w:type="dxa"/>
              <w:right w:w="600" w:type="dxa"/>
            </w:tcMar>
            <w:hideMark/>
          </w:tcPr>
          <w:p w:rsidR="008D3C13" w:rsidRPr="00F9112F" w:rsidRDefault="00F9112F" w:rsidP="008165F2">
            <w:pPr>
              <w:spacing w:after="0"/>
              <w:rPr>
                <w:rFonts w:ascii="Arial" w:eastAsia="Times New Roman" w:hAnsi="Arial" w:cs="Arial"/>
                <w:b/>
                <w:sz w:val="20"/>
                <w:szCs w:val="24"/>
                <w:lang w:val="sv-SE" w:eastAsia="sv-SE"/>
              </w:rPr>
            </w:pPr>
            <w:r w:rsidRPr="00F9112F">
              <w:rPr>
                <w:rFonts w:ascii="Arial" w:eastAsia="Arial" w:hAnsi="Arial" w:cs="Arial"/>
                <w:b/>
                <w:bCs/>
                <w:sz w:val="20"/>
                <w:szCs w:val="20"/>
                <w:bdr w:val="nil"/>
                <w:lang w:val="de-DE" w:eastAsia="sv-SE"/>
              </w:rPr>
              <w:t xml:space="preserve">Produktanwendung: </w:t>
            </w:r>
          </w:p>
        </w:tc>
        <w:tc>
          <w:tcPr>
            <w:tcW w:w="3590" w:type="pct"/>
            <w:tcMar>
              <w:top w:w="0" w:type="dxa"/>
              <w:left w:w="0" w:type="dxa"/>
              <w:bottom w:w="520" w:type="dxa"/>
              <w:right w:w="0" w:type="dxa"/>
            </w:tcMar>
            <w:hideMark/>
          </w:tcPr>
          <w:p w:rsidR="00AC5C85" w:rsidRPr="00C07B23" w:rsidRDefault="00F9112F" w:rsidP="00AC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sz w:val="20"/>
                <w:szCs w:val="24"/>
                <w:lang w:val="de-DE"/>
              </w:rPr>
            </w:pPr>
            <w:r w:rsidRPr="00F9112F">
              <w:rPr>
                <w:rFonts w:ascii="Arial" w:eastAsia="Arial" w:hAnsi="Arial" w:cs="Arial"/>
                <w:sz w:val="20"/>
                <w:szCs w:val="20"/>
                <w:bdr w:val="nil"/>
                <w:lang w:val="de-DE"/>
              </w:rPr>
              <w:t>Reinigungslösung mit Schwamm oder Bürste von unten nach oben auftragen. Nicht in den Untergrund eintrocknen lassen. Lösung einige Minuten einwirken lassen. Oberfläche abschrubben und anschließend gründlich abspülen. Es ist wichtig, dass die Reinigungslösung vollständig abgespült wird.</w:t>
            </w:r>
          </w:p>
          <w:p w:rsidR="008D3C13" w:rsidRPr="00C07B23" w:rsidRDefault="00F9112F" w:rsidP="00AC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4"/>
                <w:lang w:val="de-DE" w:eastAsia="sv-SE"/>
              </w:rPr>
            </w:pPr>
            <w:r w:rsidRPr="00F9112F">
              <w:rPr>
                <w:rFonts w:ascii="Arial" w:eastAsia="Arial" w:hAnsi="Arial" w:cs="Arial"/>
                <w:sz w:val="20"/>
                <w:szCs w:val="20"/>
                <w:bdr w:val="nil"/>
                <w:lang w:val="de-DE"/>
              </w:rPr>
              <w:t>Nicht in direktem Sonnenlicht anwenden, da der Reiniger zu schnell trocknet und die gewaschene Oberfläche fleckig werden kann.</w:t>
            </w:r>
          </w:p>
        </w:tc>
      </w:tr>
      <w:tr w:rsidR="003C5297" w:rsidRPr="00F9112F" w:rsidTr="006D2426">
        <w:trPr>
          <w:tblCellSpacing w:w="0" w:type="dxa"/>
        </w:trPr>
        <w:tc>
          <w:tcPr>
            <w:tcW w:w="0" w:type="auto"/>
            <w:tcMar>
              <w:top w:w="0" w:type="dxa"/>
              <w:left w:w="0" w:type="dxa"/>
              <w:bottom w:w="200" w:type="dxa"/>
              <w:right w:w="600" w:type="dxa"/>
            </w:tcMar>
            <w:hideMark/>
          </w:tcPr>
          <w:p w:rsidR="008D3C13" w:rsidRPr="00F9112F" w:rsidRDefault="00F9112F" w:rsidP="008D3C13">
            <w:pPr>
              <w:spacing w:after="0" w:line="240" w:lineRule="auto"/>
              <w:rPr>
                <w:rFonts w:ascii="Arial" w:eastAsia="Times New Roman" w:hAnsi="Arial" w:cs="Arial"/>
                <w:b/>
                <w:sz w:val="20"/>
                <w:szCs w:val="24"/>
                <w:lang w:val="sv-SE" w:eastAsia="sv-SE"/>
              </w:rPr>
            </w:pPr>
            <w:r w:rsidRPr="00F9112F">
              <w:rPr>
                <w:rFonts w:ascii="Arial" w:eastAsia="Arial" w:hAnsi="Arial" w:cs="Arial"/>
                <w:b/>
                <w:bCs/>
                <w:sz w:val="20"/>
                <w:szCs w:val="20"/>
                <w:bdr w:val="nil"/>
                <w:lang w:val="de-DE" w:eastAsia="sv-SE"/>
              </w:rPr>
              <w:t xml:space="preserve">Dosierung: </w:t>
            </w: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E27404" w:rsidRPr="00F9112F" w:rsidRDefault="00E27404"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p w:rsidR="004E497E" w:rsidRPr="00F9112F" w:rsidRDefault="004E497E" w:rsidP="008D3C13">
            <w:pPr>
              <w:spacing w:after="0" w:line="240" w:lineRule="auto"/>
              <w:rPr>
                <w:rFonts w:ascii="Arial" w:eastAsia="Times New Roman" w:hAnsi="Arial" w:cs="Arial"/>
                <w:sz w:val="20"/>
                <w:szCs w:val="24"/>
                <w:lang w:val="sv-SE" w:eastAsia="sv-SE"/>
              </w:rPr>
            </w:pPr>
          </w:p>
        </w:tc>
        <w:tc>
          <w:tcPr>
            <w:tcW w:w="3590" w:type="pct"/>
            <w:tcMar>
              <w:top w:w="0" w:type="dxa"/>
              <w:left w:w="0" w:type="dxa"/>
              <w:bottom w:w="520" w:type="dxa"/>
              <w:right w:w="0" w:type="dxa"/>
            </w:tcMar>
            <w:hideMark/>
          </w:tcPr>
          <w:p w:rsidR="008D3C13" w:rsidRPr="00C07B23" w:rsidRDefault="00F9112F" w:rsidP="008D3C13">
            <w:pPr>
              <w:pStyle w:val="ListParagraph"/>
              <w:numPr>
                <w:ilvl w:val="0"/>
                <w:numId w:val="1"/>
              </w:numPr>
              <w:rPr>
                <w:rFonts w:ascii="Arial" w:hAnsi="Arial" w:cs="Arial"/>
                <w:sz w:val="20"/>
                <w:szCs w:val="24"/>
                <w:lang w:val="de-DE"/>
              </w:rPr>
            </w:pPr>
            <w:r w:rsidRPr="00F9112F">
              <w:rPr>
                <w:rFonts w:ascii="Arial" w:eastAsia="Arial" w:hAnsi="Arial" w:cs="Arial"/>
                <w:sz w:val="20"/>
                <w:szCs w:val="20"/>
                <w:bdr w:val="nil"/>
                <w:lang w:val="de-DE"/>
              </w:rPr>
              <w:t>Reinigung vor dem Anstrich: ½ Liter auf 5 Liter Wasser</w:t>
            </w:r>
          </w:p>
          <w:p w:rsidR="00FB2D4B" w:rsidRPr="00F9112F" w:rsidRDefault="00F9112F" w:rsidP="008D3C13">
            <w:pPr>
              <w:pStyle w:val="ListParagraph"/>
              <w:numPr>
                <w:ilvl w:val="0"/>
                <w:numId w:val="1"/>
              </w:numPr>
              <w:rPr>
                <w:rFonts w:ascii="Arial" w:hAnsi="Arial" w:cs="Arial"/>
                <w:sz w:val="20"/>
                <w:szCs w:val="24"/>
                <w:lang w:val="sv-SE"/>
              </w:rPr>
            </w:pPr>
            <w:r w:rsidRPr="00F9112F">
              <w:rPr>
                <w:rFonts w:ascii="Arial" w:eastAsia="Arial" w:hAnsi="Arial" w:cs="Arial"/>
                <w:sz w:val="20"/>
                <w:szCs w:val="20"/>
                <w:bdr w:val="nil"/>
                <w:lang w:val="de-DE"/>
              </w:rPr>
              <w:t>Grobreinigung: ¼ Liter auf 5 Liter Wasser</w:t>
            </w:r>
          </w:p>
          <w:p w:rsidR="00FB2D4B" w:rsidRPr="00C07B23" w:rsidRDefault="00F9112F" w:rsidP="008D3C13">
            <w:pPr>
              <w:pStyle w:val="ListParagraph"/>
              <w:numPr>
                <w:ilvl w:val="0"/>
                <w:numId w:val="1"/>
              </w:numPr>
              <w:rPr>
                <w:rFonts w:ascii="Arial" w:hAnsi="Arial" w:cs="Arial"/>
                <w:sz w:val="20"/>
                <w:szCs w:val="24"/>
                <w:lang w:val="de-DE"/>
              </w:rPr>
            </w:pPr>
            <w:r w:rsidRPr="00F9112F">
              <w:rPr>
                <w:rFonts w:ascii="Arial" w:eastAsia="Arial" w:hAnsi="Arial" w:cs="Arial"/>
                <w:sz w:val="20"/>
                <w:szCs w:val="20"/>
                <w:bdr w:val="nil"/>
                <w:lang w:val="de-DE"/>
              </w:rPr>
              <w:t>Allgemeine Reinigung: ½ Liter auf 5 Liter Wasser</w:t>
            </w:r>
          </w:p>
          <w:p w:rsidR="00FB2D4B" w:rsidRPr="00F9112F" w:rsidRDefault="00F9112F" w:rsidP="008D3C13">
            <w:pPr>
              <w:pStyle w:val="ListParagraph"/>
              <w:numPr>
                <w:ilvl w:val="0"/>
                <w:numId w:val="1"/>
              </w:numPr>
              <w:rPr>
                <w:rFonts w:ascii="Arial" w:hAnsi="Arial" w:cs="Arial"/>
                <w:sz w:val="20"/>
                <w:szCs w:val="24"/>
                <w:lang w:val="sv-SE"/>
              </w:rPr>
            </w:pPr>
            <w:r w:rsidRPr="00F9112F">
              <w:rPr>
                <w:rFonts w:ascii="Arial" w:eastAsia="Arial" w:hAnsi="Arial" w:cs="Arial"/>
                <w:sz w:val="20"/>
                <w:szCs w:val="20"/>
                <w:bdr w:val="nil"/>
                <w:lang w:val="de-DE"/>
              </w:rPr>
              <w:t>Reinigung des Werkzeugs: Konzentrat</w:t>
            </w:r>
          </w:p>
          <w:p w:rsidR="008D3C13" w:rsidRPr="00F9112F" w:rsidRDefault="008D3C13" w:rsidP="008D3C13">
            <w:pPr>
              <w:pStyle w:val="NormalWeb"/>
              <w:rPr>
                <w:rFonts w:ascii="Arial" w:hAnsi="Arial" w:cs="Arial"/>
                <w:sz w:val="20"/>
                <w:lang w:val="sv-SE"/>
              </w:rPr>
            </w:pPr>
          </w:p>
        </w:tc>
      </w:tr>
      <w:tr w:rsidR="003C5297" w:rsidRPr="00F9112F" w:rsidTr="006D2426">
        <w:trPr>
          <w:tblCellSpacing w:w="0" w:type="dxa"/>
        </w:trPr>
        <w:tc>
          <w:tcPr>
            <w:tcW w:w="0" w:type="auto"/>
            <w:tcMar>
              <w:top w:w="0" w:type="dxa"/>
              <w:left w:w="0" w:type="dxa"/>
              <w:bottom w:w="200" w:type="dxa"/>
              <w:right w:w="600" w:type="dxa"/>
            </w:tcMar>
            <w:hideMark/>
          </w:tcPr>
          <w:p w:rsidR="008D3C13" w:rsidRPr="00F9112F" w:rsidRDefault="008D3C13"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8D3C13" w:rsidRPr="00F9112F"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F9112F"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F9112F"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sv-SE" w:eastAsia="sv-SE"/>
              </w:rPr>
            </w:pPr>
          </w:p>
        </w:tc>
      </w:tr>
    </w:tbl>
    <w:p w:rsidR="008D3C13" w:rsidRPr="00F9112F" w:rsidRDefault="008D3C13" w:rsidP="007172C6">
      <w:pPr>
        <w:rPr>
          <w:b/>
          <w:sz w:val="32"/>
          <w:szCs w:val="32"/>
          <w:lang w:val="sv-SE"/>
        </w:rPr>
      </w:pPr>
    </w:p>
    <w:sectPr w:rsidR="008D3C13" w:rsidRPr="00F9112F"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DB70EE8C">
      <w:start w:val="1"/>
      <w:numFmt w:val="bullet"/>
      <w:lvlText w:val=""/>
      <w:lvlJc w:val="left"/>
      <w:pPr>
        <w:ind w:left="720" w:hanging="360"/>
      </w:pPr>
      <w:rPr>
        <w:rFonts w:ascii="Symbol" w:hAnsi="Symbol" w:hint="default"/>
      </w:rPr>
    </w:lvl>
    <w:lvl w:ilvl="1" w:tplc="FF3C576C" w:tentative="1">
      <w:start w:val="1"/>
      <w:numFmt w:val="bullet"/>
      <w:lvlText w:val="o"/>
      <w:lvlJc w:val="left"/>
      <w:pPr>
        <w:ind w:left="1440" w:hanging="360"/>
      </w:pPr>
      <w:rPr>
        <w:rFonts w:ascii="Courier New" w:hAnsi="Courier New" w:cs="Courier New" w:hint="default"/>
      </w:rPr>
    </w:lvl>
    <w:lvl w:ilvl="2" w:tplc="361AE418" w:tentative="1">
      <w:start w:val="1"/>
      <w:numFmt w:val="bullet"/>
      <w:lvlText w:val=""/>
      <w:lvlJc w:val="left"/>
      <w:pPr>
        <w:ind w:left="2160" w:hanging="360"/>
      </w:pPr>
      <w:rPr>
        <w:rFonts w:ascii="Wingdings" w:hAnsi="Wingdings" w:hint="default"/>
      </w:rPr>
    </w:lvl>
    <w:lvl w:ilvl="3" w:tplc="0AD84056" w:tentative="1">
      <w:start w:val="1"/>
      <w:numFmt w:val="bullet"/>
      <w:lvlText w:val=""/>
      <w:lvlJc w:val="left"/>
      <w:pPr>
        <w:ind w:left="2880" w:hanging="360"/>
      </w:pPr>
      <w:rPr>
        <w:rFonts w:ascii="Symbol" w:hAnsi="Symbol" w:hint="default"/>
      </w:rPr>
    </w:lvl>
    <w:lvl w:ilvl="4" w:tplc="80E8EBD0" w:tentative="1">
      <w:start w:val="1"/>
      <w:numFmt w:val="bullet"/>
      <w:lvlText w:val="o"/>
      <w:lvlJc w:val="left"/>
      <w:pPr>
        <w:ind w:left="3600" w:hanging="360"/>
      </w:pPr>
      <w:rPr>
        <w:rFonts w:ascii="Courier New" w:hAnsi="Courier New" w:cs="Courier New" w:hint="default"/>
      </w:rPr>
    </w:lvl>
    <w:lvl w:ilvl="5" w:tplc="336C03C2" w:tentative="1">
      <w:start w:val="1"/>
      <w:numFmt w:val="bullet"/>
      <w:lvlText w:val=""/>
      <w:lvlJc w:val="left"/>
      <w:pPr>
        <w:ind w:left="4320" w:hanging="360"/>
      </w:pPr>
      <w:rPr>
        <w:rFonts w:ascii="Wingdings" w:hAnsi="Wingdings" w:hint="default"/>
      </w:rPr>
    </w:lvl>
    <w:lvl w:ilvl="6" w:tplc="8B06C96C" w:tentative="1">
      <w:start w:val="1"/>
      <w:numFmt w:val="bullet"/>
      <w:lvlText w:val=""/>
      <w:lvlJc w:val="left"/>
      <w:pPr>
        <w:ind w:left="5040" w:hanging="360"/>
      </w:pPr>
      <w:rPr>
        <w:rFonts w:ascii="Symbol" w:hAnsi="Symbol" w:hint="default"/>
      </w:rPr>
    </w:lvl>
    <w:lvl w:ilvl="7" w:tplc="D8CA78F0" w:tentative="1">
      <w:start w:val="1"/>
      <w:numFmt w:val="bullet"/>
      <w:lvlText w:val="o"/>
      <w:lvlJc w:val="left"/>
      <w:pPr>
        <w:ind w:left="5760" w:hanging="360"/>
      </w:pPr>
      <w:rPr>
        <w:rFonts w:ascii="Courier New" w:hAnsi="Courier New" w:cs="Courier New" w:hint="default"/>
      </w:rPr>
    </w:lvl>
    <w:lvl w:ilvl="8" w:tplc="11288E1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C6"/>
    <w:rsid w:val="00067842"/>
    <w:rsid w:val="00101EBF"/>
    <w:rsid w:val="001C7B38"/>
    <w:rsid w:val="001E0F27"/>
    <w:rsid w:val="003C5297"/>
    <w:rsid w:val="003E0027"/>
    <w:rsid w:val="004E497E"/>
    <w:rsid w:val="0057217D"/>
    <w:rsid w:val="00577ACE"/>
    <w:rsid w:val="005D0C1C"/>
    <w:rsid w:val="006D2426"/>
    <w:rsid w:val="00713F65"/>
    <w:rsid w:val="007172C6"/>
    <w:rsid w:val="008165F2"/>
    <w:rsid w:val="008225D6"/>
    <w:rsid w:val="008D3C13"/>
    <w:rsid w:val="00966A20"/>
    <w:rsid w:val="00994AA7"/>
    <w:rsid w:val="00A22D88"/>
    <w:rsid w:val="00AA3E79"/>
    <w:rsid w:val="00AC5C85"/>
    <w:rsid w:val="00AD0D11"/>
    <w:rsid w:val="00B87E42"/>
    <w:rsid w:val="00C07B23"/>
    <w:rsid w:val="00C17464"/>
    <w:rsid w:val="00C477E0"/>
    <w:rsid w:val="00CB0545"/>
    <w:rsid w:val="00D06DE8"/>
    <w:rsid w:val="00D31CC8"/>
    <w:rsid w:val="00D87A1A"/>
    <w:rsid w:val="00DB1A34"/>
    <w:rsid w:val="00DE247E"/>
    <w:rsid w:val="00DF3883"/>
    <w:rsid w:val="00E27404"/>
    <w:rsid w:val="00E95547"/>
    <w:rsid w:val="00F9112F"/>
    <w:rsid w:val="00FB2D4B"/>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4DCC5D9-F724-4823-865C-DF82D609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HTMLPreformatted">
    <w:name w:val="HTML Preformatted"/>
    <w:basedOn w:val="Normal"/>
    <w:link w:val="HTMLPreformattedChar"/>
    <w:uiPriority w:val="99"/>
    <w:semiHidden/>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8D3C13"/>
    <w:rPr>
      <w:rFonts w:ascii="Courier New" w:eastAsia="Times New Roman" w:hAnsi="Courier New" w:cs="Courier New"/>
      <w:sz w:val="20"/>
      <w:szCs w:val="20"/>
      <w:lang w:eastAsia="sv-SE"/>
    </w:rPr>
  </w:style>
  <w:style w:type="paragraph" w:styleId="ListParagraph">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410DB-6784-4EBE-9F39-4EB230EA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4</DocSecurity>
  <Lines>7</Lines>
  <Paragraphs>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Flügger A/S</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Tina Randlev Bramsen</cp:lastModifiedBy>
  <cp:revision>2</cp:revision>
  <cp:lastPrinted>2012-12-13T14:15:00Z</cp:lastPrinted>
  <dcterms:created xsi:type="dcterms:W3CDTF">2020-03-25T09:32:00Z</dcterms:created>
  <dcterms:modified xsi:type="dcterms:W3CDTF">2020-03-25T09:32:00Z</dcterms:modified>
</cp:coreProperties>
</file>