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2724A7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2724A7">
        <w:rPr>
          <w:lang w:val="nb-NO"/>
        </w:rPr>
        <w:drawing>
          <wp:anchor distT="0" distB="0" distL="114300" distR="114300" simplePos="0" relativeHeight="251659264" behindDoc="0" locked="0" layoutInCell="1" allowOverlap="1" wp14:anchorId="5612A106" wp14:editId="23B84F74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4A7" w:rsidRPr="002724A7">
        <w:rPr>
          <w:lang w:val="nb-NO"/>
        </w:rPr>
        <w:drawing>
          <wp:inline distT="0" distB="0" distL="0" distR="0">
            <wp:extent cx="1771650" cy="1666875"/>
            <wp:effectExtent l="0" t="0" r="0" b="9525"/>
            <wp:docPr id="2" name="Billede 2" descr="C:\Users\soba\AppData\Local\Microsoft\Windows\INetCacheContent.Word\Reflekt Kök &amp; Hall &amp; Tvättst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Kök &amp; Hall &amp; Tvättstu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2724A7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2724A7">
        <w:rPr>
          <w:rFonts w:ascii="Arial" w:hAnsi="Arial"/>
          <w:b/>
          <w:sz w:val="36"/>
          <w:lang w:val="nb-NO"/>
        </w:rPr>
        <w:t>Produktdatablad – Reflekt kjøkken, hall og vaskerom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2724A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724A7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724A7" w:rsidRDefault="007C0177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Reflekt kjøkken, hall og vaskerom er en vannbasert akrylatmaling med ekstra god slitestyrke. Malingen gir en halvmatt</w:t>
            </w:r>
            <w:bookmarkStart w:id="0" w:name="_GoBack"/>
            <w:bookmarkEnd w:id="0"/>
            <w:r w:rsidRPr="002724A7">
              <w:rPr>
                <w:rFonts w:ascii="Arial" w:hAnsi="Arial"/>
                <w:sz w:val="24"/>
                <w:lang w:val="nb-NO"/>
              </w:rPr>
              <w:t xml:space="preserve"> overflate.</w:t>
            </w:r>
          </w:p>
        </w:tc>
      </w:tr>
      <w:tr w:rsidR="008D3C13" w:rsidRPr="002724A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724A7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724A7" w:rsidRDefault="001F55A8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Brukes på vegger og tak av betong, gipsplater, puss og til og med på</w:t>
            </w:r>
            <w:r w:rsidR="00FB7C3A" w:rsidRPr="002724A7">
              <w:rPr>
                <w:rFonts w:ascii="Arial" w:hAnsi="Arial"/>
                <w:sz w:val="24"/>
                <w:lang w:val="nb-NO"/>
              </w:rPr>
              <w:t xml:space="preserve"> </w:t>
            </w:r>
            <w:r w:rsidR="002724A7" w:rsidRPr="002724A7">
              <w:rPr>
                <w:rFonts w:ascii="Arial" w:hAnsi="Arial"/>
                <w:sz w:val="24"/>
                <w:lang w:val="nb-NO"/>
              </w:rPr>
              <w:t>overmal bare</w:t>
            </w:r>
            <w:r w:rsidR="007374E9" w:rsidRPr="002724A7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2724A7">
              <w:rPr>
                <w:rFonts w:ascii="Arial" w:hAnsi="Arial"/>
                <w:sz w:val="24"/>
                <w:lang w:val="nb-NO"/>
              </w:rPr>
              <w:t xml:space="preserve"> </w:t>
            </w:r>
            <w:r w:rsidR="002724A7" w:rsidRPr="002724A7">
              <w:rPr>
                <w:rFonts w:ascii="Arial" w:hAnsi="Arial"/>
                <w:sz w:val="24"/>
                <w:lang w:val="nb-NO"/>
              </w:rPr>
              <w:t>tapete</w:t>
            </w:r>
            <w:r w:rsidRPr="002724A7">
              <w:rPr>
                <w:rFonts w:ascii="Arial" w:hAnsi="Arial"/>
                <w:sz w:val="24"/>
                <w:lang w:val="nb-NO"/>
              </w:rPr>
              <w:t>, der en ønsker en slitesterk overflate med meget bra vaskbarhet. For eksempel på kjøkken, hall, vaskerom, ganger osv.</w:t>
            </w:r>
          </w:p>
        </w:tc>
      </w:tr>
      <w:tr w:rsidR="008D3C13" w:rsidRPr="002724A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5C201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834EA" wp14:editId="1C52BF6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23A7C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Halvmatt, glans 20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49 vekt%</w:t>
                                  </w:r>
                                </w:p>
                                <w:p w:rsidR="00A23A7C" w:rsidRPr="00FB7C3A" w:rsidRDefault="007374E9" w:rsidP="00E554C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A23A7C"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A23A7C"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A23A7C"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8–10 m²/liter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Støvtørr</w:t>
                                  </w:r>
                                  <w:proofErr w:type="spellEnd"/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2 timer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4 timer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A23A7C" w:rsidRPr="00FB7C3A" w:rsidRDefault="00A23A7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A23A7C" w:rsidRPr="00FB7C3A" w:rsidRDefault="00A23A7C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A23A7C" w:rsidRPr="00FB7C3A" w:rsidRDefault="00A23A7C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FB7C3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FB7C3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FB7C3A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34EA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A23A7C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Halvmatt, glans 20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Ca. 49 vekt%</w:t>
                            </w:r>
                          </w:p>
                          <w:p w:rsidR="00A23A7C" w:rsidRPr="00FB7C3A" w:rsidRDefault="007374E9" w:rsidP="00E554C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A23A7C"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A23A7C" w:rsidRPr="00FB7C3A">
                              <w:rPr>
                                <w:lang w:val="nb-NO"/>
                              </w:rPr>
                              <w:tab/>
                            </w:r>
                            <w:r w:rsidR="00FB7C3A">
                              <w:rPr>
                                <w:lang w:val="nb-NO"/>
                              </w:rPr>
                              <w:tab/>
                            </w:r>
                            <w:r w:rsidR="00A23A7C" w:rsidRPr="00FB7C3A">
                              <w:rPr>
                                <w:rFonts w:ascii="Arial" w:hAnsi="Arial"/>
                                <w:lang w:val="nb-NO"/>
                              </w:rPr>
                              <w:t>8–10 m²/liter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Støvtørr</w:t>
                            </w:r>
                            <w:proofErr w:type="spellEnd"/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: Ca. 2 timer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: Ca. 4 timer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A23A7C" w:rsidRPr="00FB7C3A" w:rsidRDefault="00A23A7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A23A7C" w:rsidRPr="00FB7C3A" w:rsidRDefault="00A23A7C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A23A7C" w:rsidRPr="00FB7C3A" w:rsidRDefault="00A23A7C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FB7C3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FB7C3A">
                              <w:rPr>
                                <w:lang w:val="nb-NO"/>
                              </w:rPr>
                              <w:tab/>
                            </w:r>
                            <w:r w:rsidRPr="00FB7C3A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2724A7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724A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2724A7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E497E" w:rsidRPr="002724A7" w:rsidRDefault="001F55A8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Sprekker og hull sparkles med Reflekt lettsparkel</w:t>
            </w:r>
          </w:p>
          <w:p w:rsidR="004E497E" w:rsidRPr="002724A7" w:rsidRDefault="001F55A8" w:rsidP="00A23A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Tidligere malte overflater vaskes med Reflekt malervask</w:t>
            </w:r>
          </w:p>
          <w:p w:rsidR="004E497E" w:rsidRPr="002724A7" w:rsidRDefault="00E554C5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Overflater med fare for gjennomslag fra f. eks. nikotin eller fukt, grunnes med Reflekt 2-i-1 isoleringsgrunning og toppstrøkmaling</w:t>
            </w:r>
          </w:p>
          <w:p w:rsidR="00E554C5" w:rsidRPr="002724A7" w:rsidRDefault="00E554C5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Røres om før bruk</w:t>
            </w:r>
          </w:p>
          <w:p w:rsidR="00A23A7C" w:rsidRPr="002724A7" w:rsidRDefault="00A23A7C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4A7">
              <w:rPr>
                <w:rFonts w:ascii="Arial" w:hAnsi="Arial"/>
                <w:sz w:val="24"/>
                <w:lang w:val="nb-NO"/>
              </w:rPr>
              <w:t>Passer som underlag for veggstickers når malingen er gjennomherdet</w:t>
            </w:r>
          </w:p>
          <w:p w:rsidR="008D3C13" w:rsidRPr="002724A7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2724A7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2724A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724A7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724A7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2724A7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2724A7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2724A7" w:rsidRDefault="008D3C13" w:rsidP="007172C6">
      <w:pPr>
        <w:rPr>
          <w:b/>
          <w:sz w:val="32"/>
          <w:szCs w:val="32"/>
          <w:lang w:val="nb-NO"/>
        </w:rPr>
      </w:pPr>
    </w:p>
    <w:sectPr w:rsidR="008D3C13" w:rsidRPr="002724A7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D2094"/>
    <w:rsid w:val="000F4BDC"/>
    <w:rsid w:val="00101EBF"/>
    <w:rsid w:val="001C7B38"/>
    <w:rsid w:val="001E0F27"/>
    <w:rsid w:val="001F55A8"/>
    <w:rsid w:val="002724A7"/>
    <w:rsid w:val="002A7237"/>
    <w:rsid w:val="003E0027"/>
    <w:rsid w:val="004E497E"/>
    <w:rsid w:val="00577ACE"/>
    <w:rsid w:val="005C2014"/>
    <w:rsid w:val="006D2426"/>
    <w:rsid w:val="00705890"/>
    <w:rsid w:val="00713F65"/>
    <w:rsid w:val="007172C6"/>
    <w:rsid w:val="007374E9"/>
    <w:rsid w:val="007C0177"/>
    <w:rsid w:val="008165F2"/>
    <w:rsid w:val="008225D6"/>
    <w:rsid w:val="008D3C13"/>
    <w:rsid w:val="00966A20"/>
    <w:rsid w:val="00A22D88"/>
    <w:rsid w:val="00A23A7C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DF7D95"/>
    <w:rsid w:val="00E27404"/>
    <w:rsid w:val="00E554C5"/>
    <w:rsid w:val="00E95547"/>
    <w:rsid w:val="00FA605E"/>
    <w:rsid w:val="00FB7C3A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E0992-D125-484A-88DF-428F246A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A5B3-F9E2-471D-9F2D-6EAEA334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2014-09-25T13:29:00Z</dcterms:created>
  <dcterms:modified xsi:type="dcterms:W3CDTF">2017-10-30T12:34:00Z</dcterms:modified>
</cp:coreProperties>
</file>